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961" w:rsidRDefault="00340961" w:rsidP="00340961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450F4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Metabolic and </w:t>
      </w:r>
      <w:r w:rsidRPr="007D13F2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Texture </w:t>
      </w:r>
      <w:r w:rsidRPr="006450F4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features</w:t>
      </w:r>
      <w:hyperlink r:id="rId7" w:history="1">
        <w:r w:rsidRPr="006450F4">
          <w:rPr>
            <w:rFonts w:asciiTheme="majorBidi" w:hAnsiTheme="majorBidi" w:cstheme="majorBidi"/>
            <w:b/>
            <w:bCs/>
            <w:sz w:val="28"/>
            <w:szCs w:val="28"/>
          </w:rPr>
          <w:t xml:space="preserve"> of 18F-FDG PET/CT to predict tumor response of patients with Locally Advanced Rectal Cancer treated by </w:t>
        </w:r>
      </w:hyperlink>
      <w:r w:rsidRPr="006450F4">
        <w:rPr>
          <w:rFonts w:asciiTheme="majorBidi" w:hAnsiTheme="majorBidi" w:cstheme="majorBidi"/>
          <w:b/>
          <w:bCs/>
          <w:sz w:val="28"/>
          <w:szCs w:val="28"/>
        </w:rPr>
        <w:t xml:space="preserve">simultaneous </w:t>
      </w:r>
      <w:proofErr w:type="spellStart"/>
      <w:r w:rsidRPr="006450F4">
        <w:rPr>
          <w:rFonts w:asciiTheme="majorBidi" w:hAnsiTheme="majorBidi" w:cstheme="majorBidi"/>
          <w:b/>
          <w:bCs/>
          <w:sz w:val="28"/>
          <w:szCs w:val="28"/>
        </w:rPr>
        <w:t>chemoradiation</w:t>
      </w:r>
      <w:proofErr w:type="spellEnd"/>
      <w:r w:rsidRPr="006450F4">
        <w:rPr>
          <w:rFonts w:asciiTheme="majorBidi" w:hAnsiTheme="majorBidi" w:cstheme="majorBidi"/>
          <w:b/>
          <w:bCs/>
          <w:sz w:val="28"/>
          <w:szCs w:val="28"/>
        </w:rPr>
        <w:t xml:space="preserve"> therapy</w:t>
      </w:r>
    </w:p>
    <w:p w:rsidR="00340961" w:rsidRPr="004831D9" w:rsidRDefault="00340961" w:rsidP="00340961">
      <w:pPr>
        <w:spacing w:line="360" w:lineRule="auto"/>
        <w:rPr>
          <w:rFonts w:asciiTheme="minorBidi" w:hAnsiTheme="minorBidi"/>
          <w:sz w:val="28"/>
          <w:szCs w:val="28"/>
        </w:rPr>
      </w:pPr>
      <w:proofErr w:type="spellStart"/>
      <w:r w:rsidRPr="004831D9">
        <w:rPr>
          <w:rFonts w:asciiTheme="minorBidi" w:hAnsiTheme="minorBidi"/>
          <w:sz w:val="20"/>
          <w:szCs w:val="20"/>
        </w:rPr>
        <w:t>Sajad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P shayesteh</w:t>
      </w:r>
      <w:r w:rsidRPr="004831D9">
        <w:rPr>
          <w:rFonts w:asciiTheme="minorBidi" w:hAnsiTheme="minorBidi"/>
          <w:sz w:val="20"/>
          <w:szCs w:val="20"/>
          <w:vertAlign w:val="superscript"/>
        </w:rPr>
        <w:t>1</w:t>
      </w:r>
      <w:r w:rsidRPr="004831D9">
        <w:rPr>
          <w:rFonts w:asciiTheme="minorBidi" w:hAnsiTheme="minorBidi"/>
          <w:sz w:val="20"/>
          <w:szCs w:val="20"/>
        </w:rPr>
        <w:t xml:space="preserve">. </w:t>
      </w:r>
      <w:proofErr w:type="spellStart"/>
      <w:r w:rsidRPr="004831D9">
        <w:rPr>
          <w:rFonts w:asciiTheme="minorBidi" w:hAnsiTheme="minorBidi"/>
          <w:sz w:val="20"/>
          <w:szCs w:val="20"/>
        </w:rPr>
        <w:t>Afsaneh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Alikhassi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r w:rsidRPr="004831D9">
        <w:rPr>
          <w:rFonts w:asciiTheme="minorBidi" w:hAnsiTheme="minorBidi"/>
          <w:sz w:val="20"/>
          <w:szCs w:val="20"/>
          <w:vertAlign w:val="superscript"/>
        </w:rPr>
        <w:t>2</w:t>
      </w:r>
      <w:r w:rsidRPr="004831D9">
        <w:rPr>
          <w:rFonts w:asciiTheme="minorBidi" w:hAnsiTheme="minorBidi"/>
          <w:sz w:val="20"/>
          <w:szCs w:val="20"/>
        </w:rPr>
        <w:t xml:space="preserve">. </w:t>
      </w:r>
      <w:proofErr w:type="spellStart"/>
      <w:proofErr w:type="gramStart"/>
      <w:r w:rsidRPr="004831D9">
        <w:rPr>
          <w:rFonts w:asciiTheme="minorBidi" w:hAnsiTheme="minorBidi"/>
          <w:sz w:val="20"/>
          <w:szCs w:val="20"/>
        </w:rPr>
        <w:t>armaghan</w:t>
      </w:r>
      <w:proofErr w:type="spellEnd"/>
      <w:proofErr w:type="gram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fard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esfahani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 w:rsidRPr="004831D9">
        <w:rPr>
          <w:rFonts w:asciiTheme="minorBidi" w:hAnsiTheme="minorBidi"/>
          <w:sz w:val="20"/>
          <w:szCs w:val="20"/>
        </w:rPr>
        <w:t>. Parham geramifar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 w:rsidRPr="004831D9">
        <w:rPr>
          <w:rFonts w:asciiTheme="minorBidi" w:hAnsiTheme="minorBidi"/>
          <w:sz w:val="20"/>
          <w:szCs w:val="20"/>
        </w:rPr>
        <w:t>.  Ahmad bitarafan-rajabi</w:t>
      </w:r>
      <w:r>
        <w:rPr>
          <w:rFonts w:asciiTheme="minorBidi" w:hAnsiTheme="minorBidi"/>
          <w:sz w:val="20"/>
          <w:szCs w:val="20"/>
          <w:vertAlign w:val="superscript"/>
        </w:rPr>
        <w:t>1</w:t>
      </w:r>
      <w:proofErr w:type="gramStart"/>
      <w:r>
        <w:rPr>
          <w:rFonts w:asciiTheme="minorBidi" w:hAnsiTheme="minorBidi"/>
          <w:sz w:val="20"/>
          <w:szCs w:val="20"/>
          <w:vertAlign w:val="superscript"/>
        </w:rPr>
        <w:t>,4</w:t>
      </w:r>
      <w:proofErr w:type="gramEnd"/>
      <w:r>
        <w:rPr>
          <w:rFonts w:asciiTheme="minorBidi" w:hAnsiTheme="minorBidi"/>
          <w:sz w:val="20"/>
          <w:szCs w:val="20"/>
          <w:vertAlign w:val="superscript"/>
        </w:rPr>
        <w:t>, 5 .</w:t>
      </w:r>
      <w:proofErr w:type="spellStart"/>
      <w:r w:rsidRPr="004831D9">
        <w:rPr>
          <w:rFonts w:asciiTheme="minorBidi" w:hAnsiTheme="minorBidi"/>
          <w:sz w:val="20"/>
          <w:szCs w:val="20"/>
        </w:rPr>
        <w:t>Pe</w:t>
      </w:r>
      <w:r>
        <w:rPr>
          <w:rFonts w:asciiTheme="minorBidi" w:hAnsiTheme="minorBidi"/>
          <w:sz w:val="20"/>
          <w:szCs w:val="20"/>
        </w:rPr>
        <w:t>i</w:t>
      </w:r>
      <w:r w:rsidRPr="004831D9">
        <w:rPr>
          <w:rFonts w:asciiTheme="minorBidi" w:hAnsiTheme="minorBidi"/>
          <w:sz w:val="20"/>
          <w:szCs w:val="20"/>
        </w:rPr>
        <w:t>man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haddad</w:t>
      </w:r>
      <w:proofErr w:type="spellEnd"/>
      <w:r w:rsidRPr="004831D9">
        <w:rPr>
          <w:rFonts w:asciiTheme="minorBidi" w:hAnsiTheme="minorBidi"/>
          <w:sz w:val="20"/>
          <w:szCs w:val="20"/>
          <w:vertAlign w:val="superscript"/>
        </w:rPr>
        <w:t xml:space="preserve"> </w:t>
      </w:r>
      <w:r>
        <w:rPr>
          <w:rFonts w:asciiTheme="minorBidi" w:hAnsiTheme="minorBidi"/>
          <w:sz w:val="20"/>
          <w:szCs w:val="20"/>
          <w:vertAlign w:val="superscript"/>
        </w:rPr>
        <w:t>6</w:t>
      </w:r>
    </w:p>
    <w:p w:rsidR="00340961" w:rsidRPr="004831D9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>Department of Medical Physics, School of Medicine, Iran University of Medical Sciences, Tehran, Iran</w:t>
      </w:r>
    </w:p>
    <w:p w:rsidR="00340961" w:rsidRPr="004831D9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>Department of Radiology, Cancer Institute of Iran, Tehran University of Medical Sciences, Tehran, Iran</w:t>
      </w:r>
    </w:p>
    <w:p w:rsidR="00340961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 xml:space="preserve">Research Center for Nuclear Medicine, </w:t>
      </w:r>
      <w:proofErr w:type="spellStart"/>
      <w:r w:rsidRPr="004831D9">
        <w:rPr>
          <w:rFonts w:asciiTheme="minorBidi" w:hAnsiTheme="minorBidi"/>
          <w:color w:val="131413"/>
          <w:sz w:val="17"/>
          <w:szCs w:val="17"/>
        </w:rPr>
        <w:t>Shariati</w:t>
      </w:r>
      <w:proofErr w:type="spellEnd"/>
      <w:r w:rsidRPr="004831D9">
        <w:rPr>
          <w:rFonts w:asciiTheme="minorBidi" w:hAnsiTheme="minorBidi"/>
          <w:color w:val="131413"/>
          <w:sz w:val="17"/>
          <w:szCs w:val="17"/>
        </w:rPr>
        <w:t xml:space="preserve"> Hospital, Tehran</w:t>
      </w:r>
      <w:r>
        <w:rPr>
          <w:rFonts w:asciiTheme="minorBidi" w:hAnsiTheme="minorBidi"/>
          <w:color w:val="131413"/>
          <w:sz w:val="17"/>
          <w:szCs w:val="17"/>
        </w:rPr>
        <w:t xml:space="preserve"> </w:t>
      </w:r>
      <w:r w:rsidRPr="004831D9">
        <w:rPr>
          <w:rFonts w:asciiTheme="minorBidi" w:hAnsiTheme="minorBidi"/>
          <w:color w:val="131413"/>
          <w:sz w:val="17"/>
          <w:szCs w:val="17"/>
        </w:rPr>
        <w:t>University of Medical Sciences, Tehran, Iran</w:t>
      </w:r>
      <w:r w:rsidRPr="00245B9A">
        <w:rPr>
          <w:rFonts w:asciiTheme="minorBidi" w:hAnsiTheme="minorBidi"/>
          <w:color w:val="131413"/>
          <w:sz w:val="17"/>
          <w:szCs w:val="17"/>
        </w:rPr>
        <w:t>.</w:t>
      </w:r>
    </w:p>
    <w:p w:rsidR="00340961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Cardiovascular Intervention 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Tehran, Iran</w:t>
      </w:r>
    </w:p>
    <w:p w:rsidR="00340961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Echocardiography 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Tehran, Iran</w:t>
      </w:r>
    </w:p>
    <w:p w:rsidR="00340961" w:rsidRPr="005C4A7E" w:rsidRDefault="00340961" w:rsidP="00340961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 Radiation Oncology Research Center, Cancer Institute, Tehran University of Medical Sciences, Tehran, Iran</w:t>
      </w:r>
    </w:p>
    <w:p w:rsidR="006C759E" w:rsidRPr="00653494" w:rsidRDefault="006C759E" w:rsidP="006C759E">
      <w:pPr>
        <w:widowControl/>
        <w:autoSpaceDE w:val="0"/>
        <w:autoSpaceDN w:val="0"/>
        <w:adjustRightInd w:val="0"/>
        <w:contextualSpacing/>
        <w:rPr>
          <w:rFonts w:asciiTheme="minorBidi" w:hAnsiTheme="minorBidi"/>
          <w:color w:val="131413"/>
          <w:sz w:val="17"/>
          <w:szCs w:val="17"/>
        </w:rPr>
      </w:pPr>
    </w:p>
    <w:p w:rsidR="006C759E" w:rsidRDefault="006C759E" w:rsidP="006C759E">
      <w:pPr>
        <w:rPr>
          <w:rFonts w:ascii="Arial"/>
          <w:sz w:val="21"/>
        </w:rPr>
        <w:sectPr w:rsidR="006C759E" w:rsidSect="006C759E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6C759E" w:rsidRPr="00653494" w:rsidRDefault="006C759E" w:rsidP="006C759E">
      <w:pPr>
        <w:pStyle w:val="Heading3"/>
        <w:spacing w:before="147"/>
        <w:jc w:val="both"/>
        <w:rPr>
          <w:sz w:val="24"/>
          <w:szCs w:val="24"/>
        </w:rPr>
      </w:pPr>
      <w:r w:rsidRPr="00653494">
        <w:rPr>
          <w:sz w:val="24"/>
          <w:szCs w:val="24"/>
        </w:rPr>
        <w:lastRenderedPageBreak/>
        <w:t xml:space="preserve">Abstract </w:t>
      </w:r>
    </w:p>
    <w:p w:rsidR="00340961" w:rsidRPr="00A360A2" w:rsidRDefault="00340961" w:rsidP="00340961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Neoadjuvant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chemoradiotherapy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(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nCRT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>) followed by surgical resection is the standard treatment for locally advanced rectal cancer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(LARC)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patients. 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Radiomics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can be used as noninvasive biomarker for prediction of response to therapy. The main aim of this study was to evaluate the association of </w:t>
      </w:r>
      <w:r>
        <w:rPr>
          <w:rFonts w:asciiTheme="majorBidi" w:eastAsia="Times New Roman" w:hAnsiTheme="majorBidi" w:cstheme="majorBidi"/>
          <w:sz w:val="24"/>
          <w:szCs w:val="24"/>
        </w:rPr>
        <w:t>PET/CT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texture features of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LARC with 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nCRT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response.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All patients underwent </w:t>
      </w:r>
      <w:r>
        <w:rPr>
          <w:rFonts w:asciiTheme="majorBidi" w:eastAsia="Times New Roman" w:hAnsiTheme="majorBidi" w:cstheme="majorBidi"/>
          <w:sz w:val="24"/>
          <w:szCs w:val="24"/>
        </w:rPr>
        <w:t>PET/CT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one week before 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nCRT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and then received concurrent </w:t>
      </w:r>
      <w:proofErr w:type="spellStart"/>
      <w:r w:rsidRPr="00A360A2">
        <w:rPr>
          <w:rFonts w:asciiTheme="majorBidi" w:eastAsia="Times New Roman" w:hAnsiTheme="majorBidi" w:cstheme="majorBidi"/>
          <w:sz w:val="24"/>
          <w:szCs w:val="24"/>
        </w:rPr>
        <w:t>nCRT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>. For each patient, In</w:t>
      </w:r>
      <w:bookmarkStart w:id="0" w:name="_GoBack"/>
      <w:bookmarkEnd w:id="0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tensity, shape and texture based features were derived from </w:t>
      </w:r>
      <w:r>
        <w:rPr>
          <w:rFonts w:asciiTheme="majorBidi" w:eastAsia="Times New Roman" w:hAnsiTheme="majorBidi" w:cstheme="majorBidi"/>
          <w:sz w:val="24"/>
          <w:szCs w:val="24"/>
        </w:rPr>
        <w:t>PET/CT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images using the IBEX software. We identify responder from a non-responder group by using </w:t>
      </w:r>
      <w:r w:rsidRPr="00860DFF">
        <w:rPr>
          <w:rFonts w:asciiTheme="majorBidi" w:hAnsiTheme="majorBidi" w:cstheme="majorBidi"/>
          <w:sz w:val="24"/>
          <w:szCs w:val="24"/>
        </w:rPr>
        <w:t>logistic regression classifier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. </w:t>
      </w:r>
    </w:p>
    <w:p w:rsidR="00340961" w:rsidRPr="00340961" w:rsidRDefault="00340961" w:rsidP="00340961">
      <w:pPr>
        <w:autoSpaceDE w:val="0"/>
        <w:autoSpaceDN w:val="0"/>
        <w:adjustRightInd w:val="0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A360A2">
        <w:rPr>
          <w:rFonts w:asciiTheme="majorBidi" w:eastAsia="Times New Roman" w:hAnsiTheme="majorBidi" w:cstheme="majorBidi"/>
          <w:b/>
          <w:bCs/>
          <w:sz w:val="24"/>
          <w:szCs w:val="24"/>
        </w:rPr>
        <w:t>Result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: </w:t>
      </w:r>
      <w:r>
        <w:rPr>
          <w:rFonts w:asciiTheme="majorBidi" w:eastAsia="Times New Roman" w:hAnsiTheme="majorBidi" w:cstheme="majorBidi"/>
          <w:sz w:val="24"/>
          <w:szCs w:val="24"/>
        </w:rPr>
        <w:t>23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patients </w:t>
      </w:r>
      <w:r>
        <w:rPr>
          <w:rFonts w:asciiTheme="majorBidi" w:eastAsia="Times New Roman" w:hAnsiTheme="majorBidi" w:cstheme="majorBidi"/>
          <w:sz w:val="24"/>
          <w:szCs w:val="24"/>
        </w:rPr>
        <w:t>with LARC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were included in the study. Patients'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n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>CRT</w:t>
      </w:r>
      <w:proofErr w:type="spellEnd"/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responses included </w:t>
      </w:r>
      <w:r>
        <w:rPr>
          <w:rFonts w:asciiTheme="majorBidi" w:eastAsia="Times New Roman" w:hAnsiTheme="majorBidi" w:cstheme="majorBidi"/>
          <w:sz w:val="24"/>
          <w:szCs w:val="24"/>
        </w:rPr>
        <w:t>5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patients with Grade 0, </w:t>
      </w:r>
      <w:r>
        <w:rPr>
          <w:rFonts w:asciiTheme="majorBidi" w:eastAsia="Times New Roman" w:hAnsiTheme="majorBidi" w:cstheme="majorBidi"/>
          <w:sz w:val="24"/>
          <w:szCs w:val="24"/>
        </w:rPr>
        <w:t>7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with Grade 1, </w:t>
      </w:r>
      <w:r>
        <w:rPr>
          <w:rFonts w:asciiTheme="majorBidi" w:eastAsia="Times New Roman" w:hAnsiTheme="majorBidi" w:cstheme="majorBidi"/>
          <w:sz w:val="24"/>
          <w:szCs w:val="24"/>
        </w:rPr>
        <w:t>6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with Grade 2, and </w:t>
      </w:r>
      <w:r>
        <w:rPr>
          <w:rFonts w:asciiTheme="majorBidi" w:eastAsia="Times New Roman" w:hAnsiTheme="majorBidi" w:cstheme="majorBidi"/>
          <w:sz w:val="24"/>
          <w:szCs w:val="24"/>
        </w:rPr>
        <w:t>5</w:t>
      </w:r>
      <w:r w:rsidRPr="00A360A2">
        <w:rPr>
          <w:rFonts w:asciiTheme="majorBidi" w:eastAsia="Times New Roman" w:hAnsiTheme="majorBidi" w:cstheme="majorBidi"/>
          <w:sz w:val="24"/>
          <w:szCs w:val="24"/>
        </w:rPr>
        <w:t xml:space="preserve"> with Grade 3 according to AJCC/CAP pathologic grading.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In quantitative texture features analysis </w:t>
      </w:r>
      <w:r w:rsidRPr="00860DFF">
        <w:rPr>
          <w:rFonts w:asciiTheme="majorBidi" w:hAnsiTheme="majorBidi" w:cstheme="majorBidi"/>
          <w:sz w:val="24"/>
          <w:szCs w:val="24"/>
        </w:rPr>
        <w:t xml:space="preserve">The </w:t>
      </w:r>
      <w:r w:rsidRPr="00860DFF">
        <w:rPr>
          <w:rFonts w:asciiTheme="majorBidi" w:hAnsiTheme="majorBidi" w:cstheme="majorBidi"/>
          <w:sz w:val="24"/>
          <w:szCs w:val="24"/>
        </w:rPr>
        <w:lastRenderedPageBreak/>
        <w:t>Dissimilarity feature has the highest performance (AUC, 0.65)</w:t>
      </w:r>
      <w:r>
        <w:rPr>
          <w:rFonts w:asciiTheme="majorBidi" w:hAnsiTheme="majorBidi" w:cstheme="majorBidi"/>
          <w:sz w:val="24"/>
          <w:szCs w:val="24"/>
        </w:rPr>
        <w:t xml:space="preserve"> and in metabolic parameters analysis the </w:t>
      </w:r>
      <w:r w:rsidRPr="00340961">
        <w:rPr>
          <w:rFonts w:asciiTheme="majorBidi" w:eastAsia="Times New Roman" w:hAnsiTheme="majorBidi" w:cstheme="majorBidi"/>
          <w:sz w:val="24"/>
          <w:szCs w:val="24"/>
        </w:rPr>
        <w:t>best performance is for TLG (AUC, 61)</w:t>
      </w:r>
      <w:r w:rsidRPr="00340961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:rsidR="00340961" w:rsidRPr="00340961" w:rsidRDefault="00340961" w:rsidP="00340961">
      <w:pPr>
        <w:autoSpaceDE w:val="0"/>
        <w:autoSpaceDN w:val="0"/>
        <w:adjustRightInd w:val="0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340961">
        <w:rPr>
          <w:rFonts w:asciiTheme="majorBidi" w:eastAsia="Times New Roman" w:hAnsiTheme="majorBidi" w:cstheme="majorBidi"/>
          <w:sz w:val="24"/>
          <w:szCs w:val="24"/>
        </w:rPr>
        <w:t>Conclusion:  In conclusion, Performance of quantitative texture features in better than metabolic parameters but their performance should be improved.</w:t>
      </w:r>
    </w:p>
    <w:p w:rsidR="006C759E" w:rsidRPr="00653494" w:rsidRDefault="006C759E" w:rsidP="00340961">
      <w:pPr>
        <w:pStyle w:val="Heading3"/>
        <w:spacing w:before="74"/>
        <w:rPr>
          <w:sz w:val="24"/>
          <w:szCs w:val="24"/>
        </w:rPr>
      </w:pPr>
      <w:r w:rsidRPr="00653494">
        <w:rPr>
          <w:sz w:val="24"/>
          <w:szCs w:val="24"/>
        </w:rPr>
        <w:t>Image</w:t>
      </w:r>
    </w:p>
    <w:p w:rsidR="006C759E" w:rsidRDefault="00340961" w:rsidP="006C759E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C6658C8" wp14:editId="6D68C087">
            <wp:extent cx="3322955" cy="1997454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100" cy="199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759E" w:rsidRPr="00653494" w:rsidRDefault="006C759E" w:rsidP="006C759E">
      <w:pPr>
        <w:spacing w:line="204" w:lineRule="exac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color w:val="BF5A14"/>
          <w:sz w:val="20"/>
        </w:rPr>
        <w:br/>
      </w:r>
      <w:r>
        <w:rPr>
          <w:rFonts w:ascii="Arial" w:eastAsia="Arial" w:hAnsi="Arial" w:cs="Arial"/>
          <w:b/>
          <w:bCs/>
          <w:sz w:val="24"/>
          <w:szCs w:val="24"/>
        </w:rPr>
        <w:t>Recent Publications</w:t>
      </w:r>
    </w:p>
    <w:p w:rsidR="006C759E" w:rsidRPr="006C759E" w:rsidRDefault="006C759E" w:rsidP="006C759E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C759E">
        <w:t>1.</w:t>
      </w:r>
      <w:r w:rsidRPr="006C759E">
        <w:tab/>
        <w:t xml:space="preserve">Summers, R.M., </w:t>
      </w:r>
      <w:r w:rsidRPr="006C759E">
        <w:rPr>
          <w:i/>
        </w:rPr>
        <w:t>Are we at a crossroads or a plateau? Radiomics and machine learning in abdominal oncology imaging.</w:t>
      </w:r>
      <w:r w:rsidRPr="006C759E">
        <w:t xml:space="preserve"> Abdominal Radiology, 2018: p. 1-5.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2.</w:t>
      </w:r>
      <w:r w:rsidRPr="006C759E">
        <w:tab/>
        <w:t xml:space="preserve">William, W., et al. </w:t>
      </w:r>
      <w:r w:rsidRPr="006C759E">
        <w:rPr>
          <w:i/>
        </w:rPr>
        <w:t>A review of applications of image analysis and machine learning techniques in automated diagnosis and classification of cervical cancer from pap-smear images</w:t>
      </w:r>
      <w:r w:rsidRPr="006C759E">
        <w:t xml:space="preserve">. in </w:t>
      </w:r>
      <w:r w:rsidRPr="006C759E">
        <w:rPr>
          <w:i/>
        </w:rPr>
        <w:t>2018 IST-Africa Week Conference (IST-Africa)</w:t>
      </w:r>
      <w:r w:rsidRPr="006C759E">
        <w:t>. 2018. IEEE.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3.</w:t>
      </w:r>
      <w:r w:rsidRPr="006C759E">
        <w:tab/>
        <w:t xml:space="preserve">Yin, P., et al., </w:t>
      </w:r>
      <w:r w:rsidRPr="006C759E">
        <w:rPr>
          <w:i/>
        </w:rPr>
        <w:t xml:space="preserve">Comparison of radiomics machine-learning classifiers and feature selection for differentiation of sacral chordoma and sacral giant cell tumour based on 3D computed tomography </w:t>
      </w:r>
      <w:r w:rsidRPr="006C759E">
        <w:rPr>
          <w:i/>
        </w:rPr>
        <w:lastRenderedPageBreak/>
        <w:t>features.</w:t>
      </w:r>
      <w:r w:rsidRPr="006C759E">
        <w:t xml:space="preserve"> European radiology, 2018: p. 1-7.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4.</w:t>
      </w:r>
      <w:r w:rsidRPr="006C759E">
        <w:tab/>
        <w:t xml:space="preserve">Bibault, J.-E., et al., </w:t>
      </w:r>
      <w:r w:rsidRPr="006C759E">
        <w:rPr>
          <w:i/>
        </w:rPr>
        <w:t>Deep Learning and Radiomics predict complete response after neo-adjuvant chemoradiation for locally advanced rectal cancer.</w:t>
      </w:r>
      <w:r w:rsidRPr="006C759E">
        <w:t xml:space="preserve"> Scientific reports, 2018. </w:t>
      </w:r>
      <w:r w:rsidRPr="006C759E">
        <w:rPr>
          <w:b/>
        </w:rPr>
        <w:t>8</w:t>
      </w:r>
      <w:r w:rsidRPr="006C759E">
        <w:t>(1): p. 12611.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5.</w:t>
      </w:r>
      <w:r w:rsidRPr="006C759E">
        <w:tab/>
        <w:t xml:space="preserve">Masciocchi, C., et al., </w:t>
      </w:r>
      <w:r w:rsidRPr="006C759E">
        <w:rPr>
          <w:i/>
        </w:rPr>
        <w:t>An externally validated MRI radiomics model for predicting clinical response in rectal cancer.</w:t>
      </w:r>
      <w:r w:rsidRPr="006C759E">
        <w:t xml:space="preserve"> 2018.</w:t>
      </w:r>
    </w:p>
    <w:p w:rsidR="006C759E" w:rsidRPr="006C759E" w:rsidRDefault="006C759E" w:rsidP="006C759E">
      <w:pPr>
        <w:tabs>
          <w:tab w:val="left" w:pos="384"/>
        </w:tabs>
        <w:ind w:right="117"/>
        <w:sectPr w:rsidR="006C759E" w:rsidRPr="006C759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fldChar w:fldCharType="end"/>
      </w:r>
    </w:p>
    <w:p w:rsidR="000A4845" w:rsidRDefault="00115CBB" w:rsidP="006C759E"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</w:p>
    <w:sectPr w:rsidR="000A4845" w:rsidSect="009229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CBB" w:rsidRDefault="00115CBB" w:rsidP="006C759E">
      <w:r>
        <w:separator/>
      </w:r>
    </w:p>
  </w:endnote>
  <w:endnote w:type="continuationSeparator" w:id="0">
    <w:p w:rsidR="00115CBB" w:rsidRDefault="00115CBB" w:rsidP="006C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01F4F5" wp14:editId="5A1F1F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2909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1F4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29099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6FC5983" wp14:editId="4A02F81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2909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C5983" id="Text Box 2" o:spid="_x0000_s1028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29099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29099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EF37938" wp14:editId="0D7E396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2909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37938" id="Text Box 1" o:spid="_x0000_s1029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29099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CBB" w:rsidRDefault="00115CBB" w:rsidP="006C759E">
      <w:r>
        <w:separator/>
      </w:r>
    </w:p>
  </w:footnote>
  <w:footnote w:type="continuationSeparator" w:id="0">
    <w:p w:rsidR="00115CBB" w:rsidRDefault="00115CBB" w:rsidP="006C7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6F8209" wp14:editId="60DC71A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2909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F82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29099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29099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84192"/>
    <w:multiLevelType w:val="hybridMultilevel"/>
    <w:tmpl w:val="8424F96C"/>
    <w:lvl w:ilvl="0" w:tplc="8A240F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tw5rrvps9wheevzkvrae6f0vwrw0f02ra&quot;&gt;My EndNote Library&lt;record-ids&gt;&lt;item&gt;157&lt;/item&gt;&lt;item&gt;158&lt;/item&gt;&lt;item&gt;159&lt;/item&gt;&lt;item&gt;160&lt;/item&gt;&lt;item&gt;161&lt;/item&gt;&lt;/record-ids&gt;&lt;/item&gt;&lt;/Libraries&gt;"/>
  </w:docVars>
  <w:rsids>
    <w:rsidRoot w:val="006C759E"/>
    <w:rsid w:val="000A4845"/>
    <w:rsid w:val="0011449F"/>
    <w:rsid w:val="00115CBB"/>
    <w:rsid w:val="00127F09"/>
    <w:rsid w:val="002337B6"/>
    <w:rsid w:val="00290999"/>
    <w:rsid w:val="002A4BE2"/>
    <w:rsid w:val="002C3C5C"/>
    <w:rsid w:val="00340961"/>
    <w:rsid w:val="003506F6"/>
    <w:rsid w:val="00436A76"/>
    <w:rsid w:val="004574F0"/>
    <w:rsid w:val="004D19EA"/>
    <w:rsid w:val="00500716"/>
    <w:rsid w:val="00572FBC"/>
    <w:rsid w:val="006B2609"/>
    <w:rsid w:val="006C759E"/>
    <w:rsid w:val="00720DCF"/>
    <w:rsid w:val="008B6BA4"/>
    <w:rsid w:val="0092293E"/>
    <w:rsid w:val="00BC7EB0"/>
    <w:rsid w:val="00C202E1"/>
    <w:rsid w:val="00C7730C"/>
    <w:rsid w:val="00D44B1F"/>
    <w:rsid w:val="00D73497"/>
    <w:rsid w:val="00F4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1DF0B07-67DB-44F7-8D9F-AA54B757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C759E"/>
    <w:pPr>
      <w:widowControl w:val="0"/>
      <w:spacing w:after="0" w:line="240" w:lineRule="auto"/>
    </w:pPr>
    <w:rPr>
      <w:rFonts w:ascii="Tw Cen MT" w:eastAsia="Tw Cen MT" w:hAnsi="Tw Cen MT" w:cs="Tw Cen MT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6C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6C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759E"/>
    <w:rPr>
      <w:rFonts w:ascii="Minion Pro" w:eastAsia="Minion Pro" w:hAnsi="Minion Pro" w:cs="Minion Pro"/>
      <w:b/>
      <w:bCs/>
      <w:sz w:val="36"/>
      <w:szCs w:val="36"/>
      <w:lang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6C759E"/>
    <w:rPr>
      <w:rFonts w:ascii="Arial" w:eastAsia="Arial" w:hAnsi="Arial" w:cs="Arial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6C759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C759E"/>
    <w:rPr>
      <w:rFonts w:ascii="Tw Cen MT" w:eastAsia="Tw Cen MT" w:hAnsi="Tw Cen MT" w:cs="Tw Cen MT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6C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6C759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759E"/>
    <w:rPr>
      <w:rFonts w:ascii="Tw Cen MT" w:eastAsia="Tw Cen MT" w:hAnsi="Tw Cen MT" w:cs="Tw Cen MT"/>
      <w:noProof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6C759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C759E"/>
    <w:rPr>
      <w:rFonts w:ascii="Tw Cen MT" w:eastAsia="Tw Cen MT" w:hAnsi="Tw Cen MT" w:cs="Tw Cen MT"/>
      <w:noProof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59E"/>
    <w:rPr>
      <w:rFonts w:ascii="Tw Cen MT" w:eastAsia="Tw Cen MT" w:hAnsi="Tw Cen MT" w:cs="Tw Cen MT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59E"/>
    <w:rPr>
      <w:rFonts w:ascii="Tw Cen MT" w:eastAsia="Tw Cen MT" w:hAnsi="Tw Cen MT" w:cs="Tw Cen MT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76135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</dc:creator>
  <cp:keywords/>
  <dc:description/>
  <cp:lastModifiedBy>HYPER</cp:lastModifiedBy>
  <cp:revision>2</cp:revision>
  <dcterms:created xsi:type="dcterms:W3CDTF">2018-12-11T06:42:00Z</dcterms:created>
  <dcterms:modified xsi:type="dcterms:W3CDTF">2018-12-11T06:58:00Z</dcterms:modified>
</cp:coreProperties>
</file>