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E1B" w:rsidRDefault="00145E1B" w:rsidP="00145E1B">
      <w:pPr>
        <w:pStyle w:val="Default"/>
        <w:rPr>
          <w:rFonts w:ascii="Minion Pro" w:hAnsi="Minion Pro"/>
          <w:b/>
          <w:color w:val="4F81BD" w:themeColor="accent1"/>
          <w:sz w:val="36"/>
          <w:szCs w:val="36"/>
          <w:lang w:val="en-US"/>
        </w:rPr>
      </w:pPr>
      <w:r w:rsidRPr="00491411">
        <w:rPr>
          <w:rFonts w:ascii="Minion Pro" w:hAnsi="Minion Pro"/>
          <w:b/>
          <w:color w:val="4F81BD" w:themeColor="accent1"/>
          <w:sz w:val="36"/>
          <w:szCs w:val="36"/>
          <w:lang w:val="en-US"/>
        </w:rPr>
        <w:t>The effect of digestion fertilization on the yield and SPAD values of selected plants cultivated in eastern Poland</w:t>
      </w:r>
    </w:p>
    <w:p w:rsidR="0093592F" w:rsidRPr="00491411" w:rsidRDefault="0093592F" w:rsidP="00145E1B">
      <w:pPr>
        <w:pStyle w:val="Default"/>
        <w:rPr>
          <w:rFonts w:ascii="Minion Pro" w:hAnsi="Minion Pro"/>
          <w:b/>
          <w:color w:val="4F81BD" w:themeColor="accent1"/>
          <w:sz w:val="36"/>
          <w:szCs w:val="36"/>
          <w:lang w:val="en-US"/>
        </w:rPr>
      </w:pPr>
    </w:p>
    <w:p w:rsidR="00145E1B" w:rsidRDefault="00145E1B" w:rsidP="00145E1B">
      <w:pPr>
        <w:pStyle w:val="Default"/>
        <w:rPr>
          <w:rFonts w:ascii="Arial" w:hAnsi="Arial" w:cs="Arial"/>
          <w:iCs/>
          <w:sz w:val="18"/>
          <w:szCs w:val="18"/>
        </w:rPr>
      </w:pPr>
      <w:r>
        <w:rPr>
          <w:rFonts w:ascii="Arial" w:hAnsi="Arial" w:cs="Arial"/>
          <w:iCs/>
          <w:sz w:val="18"/>
          <w:szCs w:val="18"/>
        </w:rPr>
        <w:t>Andrzej Górnik</w:t>
      </w:r>
      <w:r>
        <w:rPr>
          <w:rFonts w:ascii="Arial" w:hAnsi="Arial" w:cs="Arial"/>
          <w:iCs/>
          <w:sz w:val="18"/>
          <w:szCs w:val="18"/>
        </w:rPr>
        <w:t xml:space="preserve">, </w:t>
      </w:r>
      <w:proofErr w:type="spellStart"/>
      <w:r>
        <w:rPr>
          <w:rFonts w:ascii="Arial" w:hAnsi="Arial" w:cs="Arial"/>
          <w:iCs/>
          <w:sz w:val="18"/>
          <w:szCs w:val="18"/>
        </w:rPr>
        <w:t>PhD</w:t>
      </w:r>
      <w:proofErr w:type="spellEnd"/>
      <w:r>
        <w:rPr>
          <w:rFonts w:ascii="Arial" w:hAnsi="Arial" w:cs="Arial"/>
          <w:iCs/>
          <w:sz w:val="18"/>
          <w:szCs w:val="18"/>
        </w:rPr>
        <w:t xml:space="preserve">, </w:t>
      </w:r>
      <w:r w:rsidRPr="005C2AB7">
        <w:rPr>
          <w:rFonts w:ascii="Arial" w:hAnsi="Arial" w:cs="Arial"/>
          <w:iCs/>
          <w:sz w:val="18"/>
          <w:szCs w:val="18"/>
        </w:rPr>
        <w:t>IUNG-PIB, Poland</w:t>
      </w:r>
    </w:p>
    <w:p w:rsidR="00145E1B" w:rsidRDefault="00145E1B" w:rsidP="00145E1B">
      <w:pPr>
        <w:pStyle w:val="Default"/>
        <w:rPr>
          <w:rFonts w:ascii="Arial" w:hAnsi="Arial" w:cs="Arial"/>
          <w:iCs/>
          <w:sz w:val="18"/>
          <w:szCs w:val="18"/>
        </w:rPr>
      </w:pPr>
      <w:r w:rsidRPr="00145E1B">
        <w:rPr>
          <w:rFonts w:ascii="Arial" w:hAnsi="Arial" w:cs="Arial"/>
          <w:iCs/>
          <w:sz w:val="18"/>
          <w:szCs w:val="18"/>
        </w:rPr>
        <w:t xml:space="preserve">Mariusz </w:t>
      </w:r>
      <w:r w:rsidRPr="00145E1B">
        <w:rPr>
          <w:rFonts w:ascii="Arial" w:hAnsi="Arial" w:cs="Arial"/>
          <w:iCs/>
          <w:color w:val="auto"/>
          <w:sz w:val="18"/>
          <w:szCs w:val="18"/>
        </w:rPr>
        <w:t>Matyka</w:t>
      </w:r>
      <w:r w:rsidRPr="00145E1B">
        <w:rPr>
          <w:rFonts w:ascii="Arial" w:hAnsi="Arial" w:cs="Arial"/>
          <w:iCs/>
          <w:color w:val="auto"/>
          <w:sz w:val="18"/>
          <w:szCs w:val="18"/>
        </w:rPr>
        <w:t>,</w:t>
      </w:r>
      <w:r w:rsidRPr="00145E1B">
        <w:rPr>
          <w:rFonts w:ascii="Arial" w:hAnsi="Arial" w:cs="Arial"/>
          <w:bCs/>
          <w:color w:val="auto"/>
          <w:sz w:val="18"/>
          <w:szCs w:val="18"/>
          <w:lang w:eastAsia="pl-PL"/>
        </w:rPr>
        <w:t xml:space="preserve"> </w:t>
      </w:r>
      <w:proofErr w:type="spellStart"/>
      <w:r w:rsidRPr="00145E1B">
        <w:rPr>
          <w:rFonts w:ascii="Arial" w:hAnsi="Arial" w:cs="Arial"/>
          <w:bCs/>
          <w:color w:val="auto"/>
          <w:sz w:val="18"/>
          <w:szCs w:val="18"/>
          <w:lang w:eastAsia="pl-PL"/>
        </w:rPr>
        <w:t>Associate</w:t>
      </w:r>
      <w:proofErr w:type="spellEnd"/>
      <w:r w:rsidRPr="00145E1B">
        <w:rPr>
          <w:rFonts w:ascii="Arial" w:hAnsi="Arial" w:cs="Arial"/>
          <w:bCs/>
          <w:color w:val="auto"/>
          <w:sz w:val="18"/>
          <w:szCs w:val="18"/>
          <w:lang w:eastAsia="pl-PL"/>
        </w:rPr>
        <w:t xml:space="preserve"> </w:t>
      </w:r>
      <w:proofErr w:type="spellStart"/>
      <w:r w:rsidRPr="00145E1B">
        <w:rPr>
          <w:rFonts w:ascii="Arial" w:hAnsi="Arial" w:cs="Arial"/>
          <w:bCs/>
          <w:color w:val="auto"/>
          <w:sz w:val="18"/>
          <w:szCs w:val="18"/>
          <w:lang w:eastAsia="pl-PL"/>
        </w:rPr>
        <w:t>Professor</w:t>
      </w:r>
      <w:proofErr w:type="spellEnd"/>
      <w:r w:rsidRPr="00145E1B">
        <w:rPr>
          <w:rFonts w:ascii="Arial" w:hAnsi="Arial" w:cs="Arial"/>
          <w:bCs/>
          <w:color w:val="auto"/>
          <w:sz w:val="18"/>
          <w:szCs w:val="18"/>
          <w:lang w:eastAsia="pl-PL"/>
        </w:rPr>
        <w:t>,</w:t>
      </w:r>
      <w:r w:rsidRPr="00145E1B">
        <w:rPr>
          <w:b/>
          <w:bCs/>
          <w:color w:val="auto"/>
          <w:sz w:val="20"/>
          <w:szCs w:val="20"/>
          <w:lang w:eastAsia="pl-PL"/>
        </w:rPr>
        <w:t xml:space="preserve"> </w:t>
      </w:r>
      <w:r w:rsidRPr="00491411">
        <w:rPr>
          <w:rFonts w:ascii="Arial" w:hAnsi="Arial" w:cs="Arial"/>
          <w:iCs/>
          <w:color w:val="auto"/>
          <w:sz w:val="18"/>
          <w:szCs w:val="18"/>
        </w:rPr>
        <w:t xml:space="preserve"> </w:t>
      </w:r>
      <w:r w:rsidRPr="00491411">
        <w:rPr>
          <w:rFonts w:ascii="Arial" w:hAnsi="Arial" w:cs="Arial"/>
          <w:iCs/>
          <w:sz w:val="18"/>
          <w:szCs w:val="18"/>
        </w:rPr>
        <w:t>IUNG-PIB, Poland</w:t>
      </w:r>
    </w:p>
    <w:p w:rsidR="00145E1B" w:rsidRDefault="00145E1B" w:rsidP="00145E1B">
      <w:pPr>
        <w:pStyle w:val="Default"/>
        <w:rPr>
          <w:rFonts w:ascii="Arial" w:hAnsi="Arial" w:cs="Arial"/>
          <w:iCs/>
          <w:sz w:val="18"/>
          <w:szCs w:val="18"/>
        </w:rPr>
      </w:pPr>
      <w:r w:rsidRPr="00145E1B">
        <w:rPr>
          <w:rFonts w:ascii="Arial" w:hAnsi="Arial" w:cs="Arial"/>
          <w:iCs/>
          <w:sz w:val="18"/>
          <w:szCs w:val="18"/>
        </w:rPr>
        <w:t>Ewa Markowska</w:t>
      </w:r>
      <w:r>
        <w:rPr>
          <w:rFonts w:ascii="Arial" w:hAnsi="Arial" w:cs="Arial"/>
          <w:iCs/>
          <w:sz w:val="18"/>
          <w:szCs w:val="18"/>
        </w:rPr>
        <w:t xml:space="preserve"> </w:t>
      </w:r>
      <w:r>
        <w:rPr>
          <w:rFonts w:ascii="Arial" w:hAnsi="Arial" w:cs="Arial"/>
          <w:iCs/>
          <w:sz w:val="18"/>
          <w:szCs w:val="18"/>
        </w:rPr>
        <w:t>– STRZEMPSKA, MA, IUNG-PIB, Poland</w:t>
      </w:r>
    </w:p>
    <w:p w:rsidR="00145E1B" w:rsidRPr="00A76ECB" w:rsidRDefault="00145E1B" w:rsidP="00145E1B">
      <w:pPr>
        <w:pStyle w:val="Default"/>
        <w:rPr>
          <w:rFonts w:ascii="Arial" w:hAnsi="Arial" w:cs="Arial"/>
          <w:iCs/>
          <w:sz w:val="18"/>
          <w:szCs w:val="18"/>
        </w:rPr>
      </w:pPr>
      <w:r w:rsidRPr="00491411">
        <w:rPr>
          <w:rFonts w:ascii="Arial" w:hAnsi="Arial" w:cs="Arial"/>
          <w:iCs/>
          <w:sz w:val="18"/>
          <w:szCs w:val="18"/>
        </w:rPr>
        <w:t>Agata Witorożec</w:t>
      </w:r>
      <w:r w:rsidRPr="00491411">
        <w:rPr>
          <w:rFonts w:ascii="Arial" w:hAnsi="Arial" w:cs="Arial"/>
          <w:iCs/>
          <w:sz w:val="18"/>
          <w:szCs w:val="18"/>
        </w:rPr>
        <w:t xml:space="preserve">, </w:t>
      </w:r>
      <w:proofErr w:type="spellStart"/>
      <w:r w:rsidRPr="00491411">
        <w:rPr>
          <w:rFonts w:ascii="Arial" w:hAnsi="Arial" w:cs="Arial"/>
          <w:iCs/>
          <w:sz w:val="18"/>
          <w:szCs w:val="18"/>
        </w:rPr>
        <w:t>PhD</w:t>
      </w:r>
      <w:proofErr w:type="spellEnd"/>
      <w:r w:rsidRPr="00491411">
        <w:rPr>
          <w:rFonts w:ascii="Arial" w:hAnsi="Arial" w:cs="Arial"/>
          <w:iCs/>
          <w:sz w:val="18"/>
          <w:szCs w:val="18"/>
        </w:rPr>
        <w:t>, IUNG-PIB, Poland</w:t>
      </w:r>
    </w:p>
    <w:p w:rsidR="00145E1B" w:rsidRDefault="00145E1B" w:rsidP="00145E1B">
      <w:pPr>
        <w:pStyle w:val="Default"/>
        <w:rPr>
          <w:rFonts w:ascii="Arial" w:hAnsi="Arial" w:cs="Arial"/>
          <w:iCs/>
          <w:sz w:val="18"/>
          <w:szCs w:val="18"/>
        </w:rPr>
      </w:pPr>
      <w:r>
        <w:rPr>
          <w:rFonts w:ascii="Arial" w:hAnsi="Arial" w:cs="Arial"/>
          <w:iCs/>
          <w:sz w:val="18"/>
          <w:szCs w:val="18"/>
        </w:rPr>
        <w:t>Paweł Wolszczak</w:t>
      </w:r>
      <w:r>
        <w:rPr>
          <w:rFonts w:ascii="Arial" w:hAnsi="Arial" w:cs="Arial"/>
          <w:iCs/>
          <w:sz w:val="18"/>
          <w:szCs w:val="18"/>
        </w:rPr>
        <w:t>, MA, IUNG-PIB, Poland</w:t>
      </w:r>
    </w:p>
    <w:p w:rsidR="00145E1B" w:rsidRPr="00145E1B" w:rsidRDefault="00145E1B" w:rsidP="00145E1B">
      <w:pPr>
        <w:pStyle w:val="Default"/>
        <w:rPr>
          <w:rFonts w:ascii="Arial" w:hAnsi="Arial" w:cs="Arial"/>
          <w:iCs/>
          <w:sz w:val="18"/>
          <w:szCs w:val="18"/>
          <w:lang w:val="en-US"/>
        </w:rPr>
      </w:pPr>
      <w:r w:rsidRPr="00145E1B">
        <w:rPr>
          <w:rFonts w:ascii="Arial" w:hAnsi="Arial" w:cs="Arial"/>
          <w:iCs/>
          <w:sz w:val="18"/>
          <w:szCs w:val="18"/>
          <w:lang w:val="en-US"/>
        </w:rPr>
        <w:t xml:space="preserve">Marek </w:t>
      </w:r>
      <w:proofErr w:type="spellStart"/>
      <w:r w:rsidRPr="00145E1B">
        <w:rPr>
          <w:rFonts w:ascii="Arial" w:hAnsi="Arial" w:cs="Arial"/>
          <w:iCs/>
          <w:sz w:val="18"/>
          <w:szCs w:val="18"/>
          <w:lang w:val="en-US"/>
        </w:rPr>
        <w:t>Woźiak</w:t>
      </w:r>
      <w:proofErr w:type="spellEnd"/>
      <w:r w:rsidRPr="00145E1B">
        <w:rPr>
          <w:rFonts w:ascii="Arial" w:hAnsi="Arial" w:cs="Arial"/>
          <w:iCs/>
          <w:sz w:val="18"/>
          <w:szCs w:val="18"/>
          <w:lang w:val="en-US"/>
        </w:rPr>
        <w:t xml:space="preserve">, IUNG-PIB, Poland </w:t>
      </w:r>
    </w:p>
    <w:p w:rsidR="00AE3E37" w:rsidRDefault="00AE3E37">
      <w:pPr>
        <w:pStyle w:val="Tekstpodstawowy"/>
        <w:rPr>
          <w:rFonts w:ascii="Arial"/>
          <w:sz w:val="20"/>
        </w:rPr>
      </w:pP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93592F">
      <w:pPr>
        <w:pStyle w:val="Nagwek3"/>
        <w:spacing w:before="147"/>
        <w:ind w:left="0"/>
        <w:jc w:val="both"/>
        <w:rPr>
          <w:color w:val="BF5A14"/>
        </w:rPr>
      </w:pPr>
      <w:r>
        <w:rPr>
          <w:color w:val="BF5A14"/>
        </w:rPr>
        <w:lastRenderedPageBreak/>
        <w:t>Abstract</w:t>
      </w:r>
      <w:r w:rsidR="00404E5B">
        <w:rPr>
          <w:color w:val="BF5A14"/>
        </w:rPr>
        <w:t xml:space="preserve"> </w:t>
      </w:r>
    </w:p>
    <w:p w:rsidR="0093592F" w:rsidRDefault="0093592F" w:rsidP="0093592F">
      <w:pPr>
        <w:pStyle w:val="Nagwek3"/>
        <w:spacing w:before="147"/>
        <w:ind w:left="0"/>
        <w:jc w:val="both"/>
      </w:pPr>
    </w:p>
    <w:p w:rsidR="00145E1B" w:rsidRDefault="00145E1B" w:rsidP="00145E1B">
      <w:pPr>
        <w:pStyle w:val="Default"/>
        <w:jc w:val="both"/>
        <w:rPr>
          <w:rFonts w:ascii="Tw Cen MT" w:hAnsi="Tw Cen MT"/>
          <w:sz w:val="18"/>
          <w:szCs w:val="18"/>
          <w:lang w:val="en-US"/>
        </w:rPr>
      </w:pPr>
      <w:bookmarkStart w:id="0" w:name="OLE_LINK30"/>
      <w:bookmarkStart w:id="1" w:name="OLE_LINK31"/>
      <w:r w:rsidRPr="00491411">
        <w:rPr>
          <w:rFonts w:ascii="Tw Cen MT" w:hAnsi="Tw Cen MT"/>
          <w:sz w:val="18"/>
          <w:szCs w:val="18"/>
          <w:lang w:val="en-US"/>
        </w:rPr>
        <w:t xml:space="preserve">The field experiment was carried out in the experimental farm in eastern Poland (51°27’53”N, 22° </w:t>
      </w:r>
      <w:r>
        <w:rPr>
          <w:rFonts w:ascii="Tw Cen MT" w:hAnsi="Tw Cen MT"/>
          <w:sz w:val="18"/>
          <w:szCs w:val="18"/>
          <w:lang w:val="en-US"/>
        </w:rPr>
        <w:t>3’52”E) in </w:t>
      </w:r>
      <w:r w:rsidRPr="00491411">
        <w:rPr>
          <w:rFonts w:ascii="Tw Cen MT" w:hAnsi="Tw Cen MT"/>
          <w:sz w:val="18"/>
          <w:szCs w:val="18"/>
          <w:lang w:val="en-US"/>
        </w:rPr>
        <w:t>2016</w:t>
      </w:r>
      <w:r>
        <w:rPr>
          <w:rFonts w:ascii="Tw Cen MT" w:hAnsi="Tw Cen MT"/>
          <w:sz w:val="18"/>
          <w:szCs w:val="18"/>
          <w:lang w:val="en-US"/>
        </w:rPr>
        <w:t>-</w:t>
      </w:r>
      <w:r w:rsidRPr="00491411">
        <w:rPr>
          <w:rFonts w:ascii="Tw Cen MT" w:hAnsi="Tw Cen MT"/>
          <w:sz w:val="18"/>
          <w:szCs w:val="18"/>
          <w:lang w:val="en-US"/>
        </w:rPr>
        <w:t>2017. This research aimed to compare SPAD values between three different crops (triticale, sorghum, maize) with three schemes of fertilization, including mineral and organic (</w:t>
      </w:r>
      <w:proofErr w:type="spellStart"/>
      <w:r w:rsidRPr="00491411">
        <w:rPr>
          <w:rFonts w:ascii="Tw Cen MT" w:hAnsi="Tw Cen MT"/>
          <w:sz w:val="18"/>
          <w:szCs w:val="18"/>
          <w:lang w:val="en-US"/>
        </w:rPr>
        <w:t>digestate</w:t>
      </w:r>
      <w:proofErr w:type="spellEnd"/>
      <w:r w:rsidRPr="00491411">
        <w:rPr>
          <w:rFonts w:ascii="Tw Cen MT" w:hAnsi="Tw Cen MT"/>
          <w:sz w:val="18"/>
          <w:szCs w:val="18"/>
          <w:lang w:val="en-US"/>
        </w:rPr>
        <w:t xml:space="preserve"> from biogas plant) fertilizers. </w:t>
      </w:r>
      <w:bookmarkStart w:id="2" w:name="OLE_LINK32"/>
      <w:bookmarkStart w:id="3" w:name="OLE_LINK33"/>
      <w:bookmarkEnd w:id="0"/>
      <w:bookmarkEnd w:id="1"/>
      <w:r w:rsidRPr="00491411">
        <w:rPr>
          <w:rFonts w:ascii="Tw Cen MT" w:hAnsi="Tw Cen MT"/>
          <w:sz w:val="18"/>
          <w:szCs w:val="18"/>
          <w:lang w:val="en-US"/>
        </w:rPr>
        <w:t xml:space="preserve">Nitrogen fertilization was in the following schemes: N-1 only mineral, N-2 before sowing </w:t>
      </w:r>
      <w:proofErr w:type="spellStart"/>
      <w:r w:rsidRPr="00491411">
        <w:rPr>
          <w:rFonts w:ascii="Tw Cen MT" w:hAnsi="Tw Cen MT"/>
          <w:sz w:val="18"/>
          <w:szCs w:val="18"/>
          <w:lang w:val="en-US"/>
        </w:rPr>
        <w:t>digestate</w:t>
      </w:r>
      <w:proofErr w:type="spellEnd"/>
      <w:r w:rsidRPr="00491411">
        <w:rPr>
          <w:rFonts w:ascii="Tw Cen MT" w:hAnsi="Tw Cen MT"/>
          <w:sz w:val="18"/>
          <w:szCs w:val="18"/>
          <w:lang w:val="en-US"/>
        </w:rPr>
        <w:t xml:space="preserve"> and later mineral, N-3 only </w:t>
      </w:r>
      <w:proofErr w:type="spellStart"/>
      <w:r w:rsidRPr="00491411">
        <w:rPr>
          <w:rFonts w:ascii="Tw Cen MT" w:hAnsi="Tw Cen MT"/>
          <w:sz w:val="18"/>
          <w:szCs w:val="18"/>
          <w:lang w:val="en-US"/>
        </w:rPr>
        <w:t>digestate</w:t>
      </w:r>
      <w:proofErr w:type="spellEnd"/>
      <w:r w:rsidRPr="00491411">
        <w:rPr>
          <w:rFonts w:ascii="Tw Cen MT" w:hAnsi="Tw Cen MT"/>
          <w:sz w:val="18"/>
          <w:szCs w:val="18"/>
          <w:lang w:val="en-US"/>
        </w:rPr>
        <w:t xml:space="preserve">. Each scheme included two dates, pre-sowing and during the cultivation. </w:t>
      </w:r>
      <w:r w:rsidRPr="00491411">
        <w:rPr>
          <w:rStyle w:val="tlid-translation"/>
          <w:rFonts w:ascii="Tw Cen MT" w:hAnsi="Tw Cen MT"/>
          <w:sz w:val="18"/>
          <w:szCs w:val="18"/>
          <w:lang w:val="en-US"/>
        </w:rPr>
        <w:t>Nourishment status of plants with nitrogen was evaluated on the basis of the SPAD (</w:t>
      </w:r>
      <w:r w:rsidRPr="00491411">
        <w:rPr>
          <w:rFonts w:ascii="Tw Cen MT" w:hAnsi="Tw Cen MT"/>
          <w:sz w:val="18"/>
          <w:szCs w:val="18"/>
          <w:lang w:val="en-US"/>
        </w:rPr>
        <w:t>Soil and Plant Analysis Development)</w:t>
      </w:r>
      <w:r w:rsidRPr="00491411">
        <w:rPr>
          <w:rStyle w:val="tlid-translation"/>
          <w:rFonts w:ascii="Tw Cen MT" w:hAnsi="Tw Cen MT"/>
          <w:sz w:val="18"/>
          <w:szCs w:val="18"/>
          <w:lang w:val="en-US"/>
        </w:rPr>
        <w:t xml:space="preserve"> index.</w:t>
      </w:r>
      <w:bookmarkStart w:id="4" w:name="OLE_LINK19"/>
      <w:bookmarkStart w:id="5" w:name="OLE_LINK20"/>
      <w:bookmarkStart w:id="6" w:name="OLE_LINK34"/>
      <w:bookmarkStart w:id="7" w:name="OLE_LINK35"/>
      <w:bookmarkStart w:id="8" w:name="OLE_LINK36"/>
      <w:bookmarkEnd w:id="2"/>
      <w:bookmarkEnd w:id="3"/>
      <w:r>
        <w:rPr>
          <w:rFonts w:ascii="Tw Cen MT" w:hAnsi="Tw Cen MT"/>
          <w:sz w:val="18"/>
          <w:szCs w:val="18"/>
          <w:lang w:val="en-US"/>
        </w:rPr>
        <w:t xml:space="preserve"> </w:t>
      </w:r>
      <w:r w:rsidRPr="00491411">
        <w:rPr>
          <w:rFonts w:ascii="Tw Cen MT" w:hAnsi="Tw Cen MT"/>
          <w:sz w:val="18"/>
          <w:szCs w:val="18"/>
          <w:lang w:val="en-US"/>
        </w:rPr>
        <w:t xml:space="preserve">The non-destructive measurement of chlorophyll concentrations in leaves were analyzed by the meter SPAD-502 values. </w:t>
      </w:r>
      <w:bookmarkEnd w:id="4"/>
      <w:bookmarkEnd w:id="5"/>
      <w:r w:rsidRPr="00491411">
        <w:rPr>
          <w:rFonts w:ascii="Tw Cen MT" w:hAnsi="Tw Cen MT"/>
          <w:sz w:val="18"/>
          <w:szCs w:val="18"/>
          <w:lang w:val="en-US"/>
        </w:rPr>
        <w:t>The amount of chlorophyll present in plant leaves can serve as an indicator of the overall condition of the plant itself.</w:t>
      </w:r>
      <w:bookmarkEnd w:id="6"/>
      <w:bookmarkEnd w:id="7"/>
      <w:bookmarkEnd w:id="8"/>
      <w:r>
        <w:rPr>
          <w:rFonts w:ascii="Tw Cen MT" w:hAnsi="Tw Cen MT"/>
          <w:sz w:val="18"/>
          <w:szCs w:val="18"/>
          <w:lang w:val="en-US"/>
        </w:rPr>
        <w:t xml:space="preserve"> </w:t>
      </w:r>
    </w:p>
    <w:p w:rsidR="00F75CC6" w:rsidRPr="0093592F" w:rsidRDefault="00145E1B" w:rsidP="0093592F">
      <w:pPr>
        <w:spacing w:before="100" w:beforeAutospacing="1" w:after="100" w:afterAutospacing="1"/>
        <w:jc w:val="both"/>
      </w:pPr>
      <w:r w:rsidRPr="005C2AB7">
        <w:rPr>
          <w:rFonts w:cs="Times New Roman"/>
          <w:bCs/>
          <w:color w:val="000000"/>
          <w:sz w:val="18"/>
          <w:szCs w:val="18"/>
        </w:rPr>
        <w:t>Results</w:t>
      </w:r>
      <w:bookmarkStart w:id="9" w:name="OLE_LINK37"/>
      <w:bookmarkStart w:id="10" w:name="OLE_LINK38"/>
      <w:r w:rsidRPr="005C2AB7">
        <w:rPr>
          <w:rFonts w:cs="Times New Roman"/>
          <w:bCs/>
          <w:color w:val="000000"/>
          <w:sz w:val="18"/>
          <w:szCs w:val="18"/>
        </w:rPr>
        <w:t>:</w:t>
      </w:r>
      <w:r>
        <w:rPr>
          <w:rFonts w:cs="Times New Roman"/>
          <w:i/>
          <w:sz w:val="18"/>
          <w:szCs w:val="18"/>
        </w:rPr>
        <w:t xml:space="preserve"> </w:t>
      </w:r>
      <w:r w:rsidRPr="00491411">
        <w:rPr>
          <w:rStyle w:val="tlid-translation"/>
          <w:rFonts w:cs="Times New Roman"/>
          <w:sz w:val="18"/>
          <w:szCs w:val="18"/>
        </w:rPr>
        <w:t xml:space="preserve">The </w:t>
      </w:r>
      <w:proofErr w:type="spellStart"/>
      <w:r w:rsidRPr="00491411">
        <w:rPr>
          <w:rStyle w:val="tlid-translation"/>
          <w:rFonts w:cs="Times New Roman"/>
          <w:sz w:val="18"/>
          <w:szCs w:val="18"/>
        </w:rPr>
        <w:t>digestate</w:t>
      </w:r>
      <w:proofErr w:type="spellEnd"/>
      <w:r w:rsidRPr="00491411">
        <w:rPr>
          <w:rStyle w:val="tlid-translation"/>
          <w:rFonts w:cs="Times New Roman"/>
          <w:sz w:val="18"/>
          <w:szCs w:val="18"/>
        </w:rPr>
        <w:t xml:space="preserve"> used in the fertilization variants </w:t>
      </w:r>
      <w:r>
        <w:rPr>
          <w:rStyle w:val="tlid-translation"/>
          <w:rFonts w:cs="Times New Roman"/>
          <w:sz w:val="18"/>
          <w:szCs w:val="18"/>
        </w:rPr>
        <w:t xml:space="preserve">  </w:t>
      </w:r>
      <w:r w:rsidRPr="00491411">
        <w:rPr>
          <w:rStyle w:val="tlid-translation"/>
          <w:rFonts w:cs="Times New Roman"/>
          <w:sz w:val="18"/>
          <w:szCs w:val="18"/>
        </w:rPr>
        <w:t xml:space="preserve">(N-2 and N-3) did not affect  the yield of the green mass of the tested crop plants. Only in the case of sorghum, the yield of the green mass was higher in the fertilization variant in which the </w:t>
      </w:r>
      <w:proofErr w:type="spellStart"/>
      <w:r w:rsidRPr="00491411">
        <w:rPr>
          <w:rStyle w:val="tlid-translation"/>
          <w:rFonts w:cs="Times New Roman"/>
          <w:sz w:val="18"/>
          <w:szCs w:val="18"/>
        </w:rPr>
        <w:t>digestate</w:t>
      </w:r>
      <w:proofErr w:type="spellEnd"/>
      <w:r w:rsidRPr="00491411">
        <w:rPr>
          <w:rStyle w:val="tlid-translation"/>
          <w:rFonts w:cs="Times New Roman"/>
          <w:sz w:val="18"/>
          <w:szCs w:val="18"/>
        </w:rPr>
        <w:t xml:space="preserve"> was used. </w:t>
      </w:r>
      <w:bookmarkStart w:id="11" w:name="OLE_LINK24"/>
      <w:bookmarkStart w:id="12" w:name="OLE_LINK25"/>
      <w:r w:rsidRPr="00491411">
        <w:rPr>
          <w:rStyle w:val="tlid-translation"/>
          <w:rFonts w:cs="Times New Roman"/>
          <w:sz w:val="18"/>
          <w:szCs w:val="18"/>
        </w:rPr>
        <w:t xml:space="preserve">The lowest yields of dry matter were recorded in the cultivation of triticale, and the highest in the cultivation of maize. </w:t>
      </w:r>
      <w:bookmarkEnd w:id="11"/>
      <w:bookmarkEnd w:id="12"/>
      <w:r w:rsidRPr="00491411">
        <w:rPr>
          <w:rStyle w:val="tlid-translation"/>
          <w:rFonts w:cs="Times New Roman"/>
          <w:sz w:val="18"/>
          <w:szCs w:val="18"/>
        </w:rPr>
        <w:t xml:space="preserve">The </w:t>
      </w:r>
      <w:proofErr w:type="spellStart"/>
      <w:r w:rsidRPr="00491411">
        <w:rPr>
          <w:rStyle w:val="tlid-translation"/>
          <w:rFonts w:cs="Times New Roman"/>
          <w:sz w:val="18"/>
          <w:szCs w:val="18"/>
        </w:rPr>
        <w:t>digestate</w:t>
      </w:r>
      <w:proofErr w:type="spellEnd"/>
      <w:r w:rsidRPr="00491411">
        <w:rPr>
          <w:rStyle w:val="tlid-translation"/>
          <w:rFonts w:cs="Times New Roman"/>
          <w:sz w:val="18"/>
          <w:szCs w:val="18"/>
        </w:rPr>
        <w:t xml:space="preserve"> used in the N-2 and N-3 fertilization variant did not differentiate the dry matter yield for triticale and maize, while sorghum dry matter yield was higher for plants fertilized with </w:t>
      </w:r>
      <w:proofErr w:type="spellStart"/>
      <w:r w:rsidRPr="00491411">
        <w:rPr>
          <w:rStyle w:val="tlid-translation"/>
          <w:rFonts w:cs="Times New Roman"/>
          <w:sz w:val="18"/>
          <w:szCs w:val="18"/>
        </w:rPr>
        <w:t>digestate</w:t>
      </w:r>
      <w:proofErr w:type="spellEnd"/>
      <w:r w:rsidRPr="00491411">
        <w:rPr>
          <w:rStyle w:val="tlid-translation"/>
          <w:rFonts w:cs="Times New Roman"/>
          <w:sz w:val="18"/>
          <w:szCs w:val="18"/>
        </w:rPr>
        <w:t>.</w:t>
      </w:r>
      <w:r w:rsidRPr="00491411">
        <w:rPr>
          <w:rFonts w:cs="Times New Roman"/>
          <w:i/>
          <w:sz w:val="18"/>
          <w:szCs w:val="18"/>
        </w:rPr>
        <w:t xml:space="preserve"> </w:t>
      </w:r>
      <w:r w:rsidRPr="00491411">
        <w:rPr>
          <w:rFonts w:cs="Times New Roman"/>
          <w:sz w:val="18"/>
          <w:szCs w:val="18"/>
        </w:rPr>
        <w:t xml:space="preserve">Replacement of mineral fertilization with a </w:t>
      </w:r>
      <w:proofErr w:type="spellStart"/>
      <w:r w:rsidRPr="00491411">
        <w:rPr>
          <w:rFonts w:cs="Times New Roman"/>
          <w:sz w:val="18"/>
          <w:szCs w:val="18"/>
        </w:rPr>
        <w:t>digestate</w:t>
      </w:r>
      <w:proofErr w:type="spellEnd"/>
      <w:r w:rsidRPr="00491411">
        <w:rPr>
          <w:rFonts w:cs="Times New Roman"/>
          <w:sz w:val="18"/>
          <w:szCs w:val="18"/>
        </w:rPr>
        <w:t xml:space="preserve"> does not cause </w:t>
      </w:r>
      <w:bookmarkStart w:id="13" w:name="OLE_LINK26"/>
      <w:bookmarkStart w:id="14" w:name="OLE_LINK27"/>
      <w:r w:rsidRPr="00491411">
        <w:rPr>
          <w:rFonts w:cs="Times New Roman"/>
          <w:sz w:val="18"/>
          <w:szCs w:val="18"/>
        </w:rPr>
        <w:t xml:space="preserve">deterioration </w:t>
      </w:r>
      <w:bookmarkEnd w:id="13"/>
      <w:bookmarkEnd w:id="14"/>
      <w:r w:rsidRPr="00491411">
        <w:rPr>
          <w:rFonts w:cs="Times New Roman"/>
          <w:sz w:val="18"/>
          <w:szCs w:val="18"/>
        </w:rPr>
        <w:t xml:space="preserve">of plant nutrition. In the final stage of development </w:t>
      </w:r>
      <w:r w:rsidRPr="00491411">
        <w:rPr>
          <w:rStyle w:val="tlid-translation"/>
          <w:rFonts w:cs="Times New Roman"/>
          <w:sz w:val="18"/>
          <w:szCs w:val="18"/>
        </w:rPr>
        <w:t>of sorghum and maize</w:t>
      </w:r>
      <w:r w:rsidRPr="00491411">
        <w:rPr>
          <w:rFonts w:cs="Times New Roman"/>
          <w:sz w:val="18"/>
          <w:szCs w:val="18"/>
        </w:rPr>
        <w:t xml:space="preserve"> were even better nourished. </w:t>
      </w:r>
      <w:r w:rsidRPr="00491411">
        <w:rPr>
          <w:rStyle w:val="tlid-translation"/>
          <w:rFonts w:cs="Times New Roman"/>
          <w:sz w:val="18"/>
          <w:szCs w:val="18"/>
        </w:rPr>
        <w:t xml:space="preserve">Triticale plants fertilized with </w:t>
      </w:r>
      <w:proofErr w:type="spellStart"/>
      <w:r w:rsidRPr="00491411">
        <w:rPr>
          <w:rStyle w:val="tlid-translation"/>
          <w:rFonts w:cs="Times New Roman"/>
          <w:sz w:val="18"/>
          <w:szCs w:val="18"/>
        </w:rPr>
        <w:t>digestate</w:t>
      </w:r>
      <w:proofErr w:type="spellEnd"/>
      <w:r w:rsidRPr="00491411">
        <w:rPr>
          <w:rStyle w:val="tlid-translation"/>
          <w:rFonts w:cs="Times New Roman"/>
          <w:sz w:val="18"/>
          <w:szCs w:val="18"/>
        </w:rPr>
        <w:t xml:space="preserve"> (N-2 and N-3) were not worse nutritious than those fertilized with mineral fertilizers.</w:t>
      </w:r>
      <w:bookmarkEnd w:id="9"/>
      <w:bookmarkEnd w:id="10"/>
      <w:r w:rsidR="00A9710C">
        <w:br w:type="column"/>
      </w:r>
      <w:r w:rsidR="005973B9">
        <w:rPr>
          <w:rFonts w:ascii="Arial"/>
          <w:b/>
          <w:color w:val="BF5A14"/>
          <w:sz w:val="20"/>
        </w:rPr>
        <w:lastRenderedPageBreak/>
        <w:t xml:space="preserve">Recent Publications </w:t>
      </w:r>
    </w:p>
    <w:p w:rsidR="005973B9" w:rsidRDefault="00145E1B" w:rsidP="0093592F">
      <w:pPr>
        <w:pStyle w:val="Akapitzlist"/>
        <w:numPr>
          <w:ilvl w:val="0"/>
          <w:numId w:val="3"/>
        </w:numPr>
        <w:tabs>
          <w:tab w:val="left" w:pos="384"/>
        </w:tabs>
        <w:spacing w:before="103" w:line="216" w:lineRule="exact"/>
        <w:ind w:right="138" w:hanging="283"/>
        <w:rPr>
          <w:sz w:val="18"/>
        </w:rPr>
      </w:pPr>
      <w:r w:rsidRPr="00145E1B">
        <w:rPr>
          <w:rFonts w:cs="Arial"/>
          <w:iCs/>
          <w:color w:val="231F20"/>
          <w:sz w:val="18"/>
          <w:szCs w:val="18"/>
          <w:lang w:val="pl-PL"/>
        </w:rPr>
        <w:t xml:space="preserve">Matyka M, Księżak J, </w:t>
      </w:r>
      <w:r w:rsidRPr="00145E1B">
        <w:rPr>
          <w:rFonts w:cs="Arial"/>
          <w:bCs/>
          <w:iCs/>
          <w:color w:val="231F20"/>
          <w:sz w:val="18"/>
          <w:szCs w:val="18"/>
          <w:lang w:val="pl-PL"/>
        </w:rPr>
        <w:t>Witorożec A, (2017)</w:t>
      </w:r>
      <w:r w:rsidRPr="00145E1B">
        <w:rPr>
          <w:rFonts w:cs="Arial"/>
          <w:b/>
          <w:bCs/>
          <w:iCs/>
          <w:color w:val="231F20"/>
          <w:sz w:val="18"/>
          <w:szCs w:val="18"/>
          <w:lang w:val="pl-PL"/>
        </w:rPr>
        <w:t xml:space="preserve"> </w:t>
      </w:r>
      <w:r w:rsidRPr="00145E1B">
        <w:rPr>
          <w:rFonts w:cs="Arial"/>
          <w:bCs/>
          <w:color w:val="231F20"/>
          <w:sz w:val="18"/>
          <w:szCs w:val="18"/>
          <w:lang w:val="pl-PL"/>
        </w:rPr>
        <w:t>Wpływ poziomu nawożenia azotem na plonowanie sorga dwubarwnego (</w:t>
      </w:r>
      <w:proofErr w:type="spellStart"/>
      <w:r w:rsidRPr="00145E1B">
        <w:rPr>
          <w:rFonts w:cs="Arial"/>
          <w:bCs/>
          <w:i/>
          <w:iCs/>
          <w:color w:val="231F20"/>
          <w:sz w:val="18"/>
          <w:szCs w:val="18"/>
          <w:lang w:val="pl-PL"/>
        </w:rPr>
        <w:t>Sorghum</w:t>
      </w:r>
      <w:proofErr w:type="spellEnd"/>
      <w:r w:rsidRPr="00145E1B">
        <w:rPr>
          <w:rFonts w:cs="Arial"/>
          <w:bCs/>
          <w:i/>
          <w:iCs/>
          <w:color w:val="231F20"/>
          <w:sz w:val="18"/>
          <w:szCs w:val="18"/>
          <w:lang w:val="pl-PL"/>
        </w:rPr>
        <w:t xml:space="preserve"> </w:t>
      </w:r>
      <w:proofErr w:type="spellStart"/>
      <w:r w:rsidRPr="00145E1B">
        <w:rPr>
          <w:rFonts w:cs="Arial"/>
          <w:bCs/>
          <w:i/>
          <w:iCs/>
          <w:color w:val="231F20"/>
          <w:sz w:val="18"/>
          <w:szCs w:val="18"/>
          <w:lang w:val="pl-PL"/>
        </w:rPr>
        <w:t>bicolor</w:t>
      </w:r>
      <w:proofErr w:type="spellEnd"/>
      <w:r w:rsidRPr="00145E1B">
        <w:rPr>
          <w:rFonts w:cs="Arial"/>
          <w:bCs/>
          <w:i/>
          <w:iCs/>
          <w:color w:val="231F20"/>
          <w:sz w:val="18"/>
          <w:szCs w:val="18"/>
          <w:lang w:val="pl-PL"/>
        </w:rPr>
        <w:t xml:space="preserve"> </w:t>
      </w:r>
      <w:r w:rsidRPr="00145E1B">
        <w:rPr>
          <w:rFonts w:cs="Arial"/>
          <w:bCs/>
          <w:color w:val="231F20"/>
          <w:sz w:val="18"/>
          <w:szCs w:val="18"/>
          <w:lang w:val="pl-PL"/>
        </w:rPr>
        <w:t xml:space="preserve">(L.) </w:t>
      </w:r>
      <w:proofErr w:type="spellStart"/>
      <w:r w:rsidRPr="00145E1B">
        <w:rPr>
          <w:rFonts w:cs="Arial"/>
          <w:bCs/>
          <w:color w:val="231F20"/>
          <w:sz w:val="18"/>
          <w:szCs w:val="18"/>
          <w:lang w:val="pl-PL"/>
        </w:rPr>
        <w:t>Moench</w:t>
      </w:r>
      <w:proofErr w:type="spellEnd"/>
      <w:r w:rsidRPr="00145E1B">
        <w:rPr>
          <w:rFonts w:cs="Arial"/>
          <w:bCs/>
          <w:color w:val="231F20"/>
          <w:sz w:val="18"/>
          <w:szCs w:val="18"/>
          <w:lang w:val="pl-PL"/>
        </w:rPr>
        <w:t xml:space="preserve">) uprawianego w zróżnicowanych warunkach siedliskowych. </w:t>
      </w:r>
      <w:proofErr w:type="spellStart"/>
      <w:r w:rsidRPr="00145E1B">
        <w:rPr>
          <w:rFonts w:cs="Arial"/>
          <w:bCs/>
          <w:color w:val="231F20"/>
          <w:sz w:val="18"/>
          <w:szCs w:val="18"/>
          <w:lang w:val="pl-PL"/>
        </w:rPr>
        <w:t>Polish</w:t>
      </w:r>
      <w:proofErr w:type="spellEnd"/>
      <w:r w:rsidRPr="00145E1B">
        <w:rPr>
          <w:rFonts w:cs="Arial"/>
          <w:bCs/>
          <w:color w:val="231F20"/>
          <w:sz w:val="18"/>
          <w:szCs w:val="18"/>
          <w:lang w:val="pl-PL"/>
        </w:rPr>
        <w:t xml:space="preserve"> </w:t>
      </w:r>
      <w:proofErr w:type="spellStart"/>
      <w:r w:rsidRPr="00145E1B">
        <w:rPr>
          <w:rFonts w:cs="Arial"/>
          <w:bCs/>
          <w:color w:val="231F20"/>
          <w:sz w:val="18"/>
          <w:szCs w:val="18"/>
          <w:lang w:val="pl-PL"/>
        </w:rPr>
        <w:t>Journal</w:t>
      </w:r>
      <w:proofErr w:type="spellEnd"/>
      <w:r w:rsidRPr="00145E1B">
        <w:rPr>
          <w:rFonts w:cs="Arial"/>
          <w:bCs/>
          <w:color w:val="231F20"/>
          <w:sz w:val="18"/>
          <w:szCs w:val="18"/>
          <w:lang w:val="pl-PL"/>
        </w:rPr>
        <w:t xml:space="preserve"> of </w:t>
      </w:r>
      <w:proofErr w:type="spellStart"/>
      <w:r w:rsidRPr="00145E1B">
        <w:rPr>
          <w:rFonts w:cs="Arial"/>
          <w:bCs/>
          <w:color w:val="231F20"/>
          <w:sz w:val="18"/>
          <w:szCs w:val="18"/>
          <w:lang w:val="pl-PL"/>
        </w:rPr>
        <w:t>Agronomy</w:t>
      </w:r>
      <w:proofErr w:type="spellEnd"/>
      <w:r w:rsidRPr="00145E1B">
        <w:rPr>
          <w:rFonts w:cs="Arial"/>
          <w:bCs/>
          <w:color w:val="231F20"/>
          <w:sz w:val="18"/>
          <w:szCs w:val="18"/>
          <w:lang w:val="pl-PL"/>
        </w:rPr>
        <w:t>: 45</w:t>
      </w:r>
      <w:r w:rsidRPr="00145E1B">
        <w:rPr>
          <w:rFonts w:cs="Arial"/>
          <w:bCs/>
          <w:color w:val="231F20"/>
          <w:sz w:val="18"/>
          <w:szCs w:val="18"/>
          <w:lang w:val="pl-PL"/>
        </w:rPr>
        <w:noBreakHyphen/>
        <w:t>51.</w:t>
      </w:r>
    </w:p>
    <w:p w:rsidR="005973B9" w:rsidRPr="00F75CC6" w:rsidRDefault="00145E1B" w:rsidP="005973B9">
      <w:pPr>
        <w:pStyle w:val="Akapitzlist"/>
        <w:numPr>
          <w:ilvl w:val="0"/>
          <w:numId w:val="3"/>
        </w:numPr>
        <w:tabs>
          <w:tab w:val="left" w:pos="384"/>
        </w:tabs>
        <w:spacing w:line="216" w:lineRule="exact"/>
        <w:ind w:right="137" w:hanging="283"/>
        <w:rPr>
          <w:sz w:val="18"/>
          <w:lang w:val="pl-PL"/>
        </w:rPr>
      </w:pPr>
      <w:r w:rsidRPr="00145E1B">
        <w:rPr>
          <w:rFonts w:cs="Arial"/>
          <w:sz w:val="18"/>
          <w:szCs w:val="18"/>
          <w:lang w:val="pl-PL"/>
        </w:rPr>
        <w:t xml:space="preserve">Bartkowiak A, </w:t>
      </w:r>
      <w:proofErr w:type="spellStart"/>
      <w:r w:rsidRPr="00145E1B">
        <w:rPr>
          <w:rFonts w:cs="Arial"/>
          <w:sz w:val="18"/>
          <w:szCs w:val="18"/>
          <w:lang w:val="pl-PL"/>
        </w:rPr>
        <w:t>Jadczyszyn</w:t>
      </w:r>
      <w:proofErr w:type="spellEnd"/>
      <w:r w:rsidRPr="00145E1B">
        <w:rPr>
          <w:rFonts w:cs="Arial"/>
          <w:sz w:val="18"/>
          <w:szCs w:val="18"/>
          <w:lang w:val="pl-PL"/>
        </w:rPr>
        <w:t xml:space="preserve"> T, Mac J, </w:t>
      </w:r>
      <w:proofErr w:type="spellStart"/>
      <w:r w:rsidRPr="00145E1B">
        <w:rPr>
          <w:rFonts w:cs="Arial"/>
          <w:sz w:val="18"/>
          <w:szCs w:val="18"/>
          <w:lang w:val="pl-PL"/>
        </w:rPr>
        <w:t>Matras</w:t>
      </w:r>
      <w:proofErr w:type="spellEnd"/>
      <w:r w:rsidRPr="00145E1B">
        <w:rPr>
          <w:rFonts w:cs="Arial"/>
          <w:sz w:val="18"/>
          <w:szCs w:val="18"/>
          <w:lang w:val="pl-PL"/>
        </w:rPr>
        <w:t xml:space="preserve"> B, Matyka M, Mielcarek B, Rzeźnik W, </w:t>
      </w:r>
      <w:proofErr w:type="spellStart"/>
      <w:r w:rsidRPr="00145E1B">
        <w:rPr>
          <w:rFonts w:cs="Arial"/>
          <w:sz w:val="18"/>
          <w:szCs w:val="18"/>
          <w:lang w:val="pl-PL"/>
        </w:rPr>
        <w:t>Stekla</w:t>
      </w:r>
      <w:proofErr w:type="spellEnd"/>
      <w:r w:rsidRPr="00145E1B">
        <w:rPr>
          <w:rFonts w:cs="Arial"/>
          <w:sz w:val="18"/>
          <w:szCs w:val="18"/>
          <w:lang w:val="pl-PL"/>
        </w:rPr>
        <w:t xml:space="preserve"> J, Talarczyk W, Zbytek Z, Witorożec A. (2017) Różne aspekty wykorzystania biomasy pofermentacyjnej :106.</w:t>
      </w:r>
    </w:p>
    <w:p w:rsidR="00F75CC6" w:rsidRPr="00F75CC6" w:rsidRDefault="00F75CC6" w:rsidP="00F75CC6">
      <w:pPr>
        <w:tabs>
          <w:tab w:val="left" w:pos="384"/>
        </w:tabs>
        <w:spacing w:line="216" w:lineRule="exact"/>
        <w:ind w:right="137"/>
        <w:rPr>
          <w:sz w:val="18"/>
          <w:lang w:val="pl-PL"/>
        </w:rPr>
      </w:pPr>
    </w:p>
    <w:p w:rsidR="00F75CC6" w:rsidRDefault="00145E1B" w:rsidP="00F75CC6">
      <w:pPr>
        <w:pStyle w:val="Akapitzlist"/>
        <w:widowControl/>
        <w:numPr>
          <w:ilvl w:val="0"/>
          <w:numId w:val="3"/>
        </w:numPr>
        <w:spacing w:before="0" w:after="100" w:afterAutospacing="1" w:line="240" w:lineRule="auto"/>
        <w:contextualSpacing/>
        <w:rPr>
          <w:rFonts w:cs="Arial"/>
          <w:bCs/>
          <w:sz w:val="18"/>
          <w:szCs w:val="18"/>
          <w:lang w:val="pl-PL"/>
        </w:rPr>
      </w:pPr>
      <w:r w:rsidRPr="00145E1B">
        <w:rPr>
          <w:rFonts w:cs="Arial"/>
          <w:bCs/>
          <w:sz w:val="18"/>
          <w:szCs w:val="18"/>
          <w:lang w:val="pl-PL"/>
        </w:rPr>
        <w:t>Witorożec A,</w:t>
      </w:r>
      <w:r w:rsidRPr="00145E1B">
        <w:rPr>
          <w:rFonts w:cs="Arial"/>
          <w:b/>
          <w:bCs/>
          <w:sz w:val="18"/>
          <w:szCs w:val="18"/>
          <w:lang w:val="pl-PL"/>
        </w:rPr>
        <w:t xml:space="preserve"> </w:t>
      </w:r>
      <w:r w:rsidRPr="00145E1B">
        <w:rPr>
          <w:rFonts w:cs="Arial"/>
          <w:bCs/>
          <w:sz w:val="18"/>
          <w:szCs w:val="18"/>
          <w:lang w:val="pl-PL"/>
        </w:rPr>
        <w:t>Matyka M, Górnik A (2017) Porównanie efektów produkcyjnych stosowania nawożenia mineralnego i organicznego z zastosowaniem osadu pofermentacyjnego z biogazowni rolniczej. Konferencja: Badania i rozwój młodych naukowców w Polsce:119.</w:t>
      </w:r>
    </w:p>
    <w:p w:rsidR="00F75CC6" w:rsidRPr="00F75CC6" w:rsidRDefault="00F75CC6" w:rsidP="00F75CC6">
      <w:pPr>
        <w:pStyle w:val="Akapitzlist"/>
        <w:widowControl/>
        <w:spacing w:before="0" w:after="100" w:afterAutospacing="1" w:line="240" w:lineRule="auto"/>
        <w:ind w:firstLine="0"/>
        <w:contextualSpacing/>
        <w:rPr>
          <w:rFonts w:cs="Arial"/>
          <w:bCs/>
          <w:sz w:val="18"/>
          <w:szCs w:val="18"/>
          <w:lang w:val="pl-PL"/>
        </w:rPr>
      </w:pPr>
    </w:p>
    <w:p w:rsidR="00F75CC6" w:rsidRPr="00F75CC6" w:rsidRDefault="00F75CC6" w:rsidP="00F75CC6">
      <w:pPr>
        <w:pStyle w:val="Akapitzlist"/>
        <w:widowControl/>
        <w:numPr>
          <w:ilvl w:val="0"/>
          <w:numId w:val="3"/>
        </w:numPr>
        <w:spacing w:before="0" w:after="100" w:afterAutospacing="1" w:line="240" w:lineRule="auto"/>
        <w:contextualSpacing/>
        <w:rPr>
          <w:rFonts w:cs="Arial"/>
          <w:bCs/>
          <w:sz w:val="18"/>
          <w:szCs w:val="18"/>
          <w:lang w:val="pl-PL"/>
        </w:rPr>
      </w:pPr>
      <w:r w:rsidRPr="00145E1B">
        <w:rPr>
          <w:rFonts w:cs="Arial"/>
          <w:sz w:val="18"/>
          <w:szCs w:val="18"/>
          <w:lang w:val="pl-PL"/>
        </w:rPr>
        <w:t xml:space="preserve">Witorożec A, Matyka M, Górnik A (2017) Porównanie efektów środowiskowych stosowania różnych systemów nawożenia w uprawie wybranych roślin wykorzystywanych jako substrat do produkcji biogazu. </w:t>
      </w:r>
      <w:r w:rsidRPr="00F75CC6">
        <w:rPr>
          <w:rFonts w:cs="Arial"/>
          <w:sz w:val="18"/>
          <w:szCs w:val="18"/>
          <w:lang w:val="pl-PL"/>
        </w:rPr>
        <w:t>Konferencja: Badania i rozwój młodych naukowców w Polsce:120.</w:t>
      </w:r>
    </w:p>
    <w:p w:rsidR="00F75CC6" w:rsidRPr="00F75CC6" w:rsidRDefault="00F75CC6" w:rsidP="005973B9">
      <w:pPr>
        <w:pStyle w:val="Akapitzlist"/>
        <w:numPr>
          <w:ilvl w:val="0"/>
          <w:numId w:val="3"/>
        </w:numPr>
        <w:tabs>
          <w:tab w:val="left" w:pos="384"/>
        </w:tabs>
        <w:spacing w:line="216" w:lineRule="exact"/>
        <w:ind w:right="138" w:hanging="283"/>
        <w:rPr>
          <w:sz w:val="18"/>
        </w:rPr>
      </w:pPr>
      <w:r w:rsidRPr="00145E1B">
        <w:rPr>
          <w:rFonts w:cs="Arial"/>
          <w:bCs/>
          <w:sz w:val="18"/>
          <w:szCs w:val="18"/>
          <w:lang w:val="pl-PL"/>
        </w:rPr>
        <w:t>Witorożec A, Matyka M, Wolszczak P, Woźniak M, (2017) Produkcja biogazu jako odnawialnego źródła energii w kontekście wpływu na zmianę klimatu. Ogólnopolska Konferencja Doktorantów i Młodych Naukowców "Adaptacja od zmian klimatu w rolnictwie":71</w:t>
      </w:r>
    </w:p>
    <w:p w:rsidR="00145E1B" w:rsidRPr="00F75CC6" w:rsidRDefault="00145E1B" w:rsidP="00F75CC6">
      <w:pPr>
        <w:widowControl/>
        <w:spacing w:after="100" w:afterAutospacing="1"/>
        <w:contextualSpacing/>
        <w:rPr>
          <w:rFonts w:cs="Arial"/>
          <w:sz w:val="18"/>
          <w:szCs w:val="18"/>
          <w:lang w:val="pl-PL"/>
        </w:rPr>
      </w:pPr>
    </w:p>
    <w:p w:rsidR="00AE3E37" w:rsidRPr="00145E1B" w:rsidRDefault="00AE3E37">
      <w:pPr>
        <w:spacing w:line="200" w:lineRule="exact"/>
        <w:jc w:val="both"/>
        <w:rPr>
          <w:rFonts w:ascii="Calibri" w:hAnsi="Calibri"/>
          <w:lang w:val="pl-PL"/>
        </w:rPr>
        <w:sectPr w:rsidR="00AE3E37" w:rsidRPr="00145E1B">
          <w:type w:val="continuous"/>
          <w:pgSz w:w="11910" w:h="16840"/>
          <w:pgMar w:top="1740" w:right="600" w:bottom="840" w:left="620" w:header="720" w:footer="720" w:gutter="0"/>
          <w:cols w:num="2" w:space="720" w:equalWidth="0">
            <w:col w:w="5214" w:space="138"/>
            <w:col w:w="5338"/>
          </w:cols>
        </w:sectPr>
      </w:pPr>
    </w:p>
    <w:p w:rsidR="00AE3E37" w:rsidRPr="00145E1B" w:rsidRDefault="00AE3E37">
      <w:pPr>
        <w:pStyle w:val="Tekstpodstawowy"/>
        <w:rPr>
          <w:rFonts w:ascii="Calibri"/>
          <w:sz w:val="20"/>
          <w:lang w:val="pl-PL"/>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F75CC6">
      <w:pPr>
        <w:spacing w:before="92"/>
        <w:ind w:right="4234"/>
        <w:rPr>
          <w:rFonts w:ascii="Arial"/>
          <w:sz w:val="14"/>
        </w:rPr>
      </w:pPr>
      <w:r>
        <w:rPr>
          <w:noProof/>
        </w:rPr>
        <w:t xml:space="preserve">              </w:t>
      </w:r>
    </w:p>
    <w:p w:rsidR="00F75CC6" w:rsidRDefault="00F75CC6" w:rsidP="00F75CC6">
      <w:pPr>
        <w:spacing w:before="62"/>
        <w:ind w:left="2127" w:right="1559"/>
        <w:jc w:val="center"/>
        <w:rPr>
          <w:rFonts w:cs="Times New Roman"/>
          <w:b/>
          <w:bCs/>
          <w:sz w:val="18"/>
          <w:szCs w:val="18"/>
        </w:rPr>
      </w:pPr>
      <w:r w:rsidRPr="00A178AF">
        <w:rPr>
          <w:rFonts w:ascii="Arial"/>
          <w:sz w:val="14"/>
        </w:rPr>
        <w:t>Email: awitorozec@iung.pulawy.pl ; mmatyka@iung.pulawy.pl</w:t>
      </w:r>
    </w:p>
    <w:p w:rsidR="00AE3E37" w:rsidRDefault="00292ED9" w:rsidP="00F75CC6">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14:anchorId="10227579" wp14:editId="150152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75CC6" w:rsidRPr="00F75CC6" w:rsidRDefault="00F75CC6" w:rsidP="00F75CC6">
      <w:pPr>
        <w:pStyle w:val="Tekstpodstawowy"/>
        <w:spacing w:before="2"/>
        <w:rPr>
          <w:rFonts w:ascii="Arial"/>
          <w:sz w:val="19"/>
        </w:rPr>
      </w:pPr>
    </w:p>
    <w:p w:rsidR="00F75CC6" w:rsidRDefault="00A9710C">
      <w:pPr>
        <w:spacing w:before="39"/>
        <w:ind w:left="100"/>
        <w:rPr>
          <w:rFonts w:cs="Times New Roman"/>
          <w:sz w:val="20"/>
          <w:szCs w:val="20"/>
        </w:rPr>
      </w:pPr>
      <w:r w:rsidRPr="00B21A57">
        <w:rPr>
          <w:rFonts w:ascii="Minion Pro"/>
          <w:b/>
          <w:sz w:val="20"/>
        </w:rPr>
        <w:t>Comment:</w:t>
      </w:r>
      <w:r w:rsidR="00F75CC6" w:rsidRPr="00F75CC6">
        <w:rPr>
          <w:rFonts w:cs="Times New Roman"/>
          <w:sz w:val="20"/>
          <w:szCs w:val="20"/>
        </w:rPr>
        <w:t xml:space="preserve"> </w:t>
      </w:r>
    </w:p>
    <w:p w:rsidR="00AE3E37" w:rsidRDefault="00F75CC6">
      <w:pPr>
        <w:spacing w:before="39"/>
        <w:ind w:left="100"/>
        <w:rPr>
          <w:rFonts w:cs="Times New Roman"/>
          <w:sz w:val="20"/>
          <w:szCs w:val="20"/>
        </w:rPr>
      </w:pPr>
      <w:r w:rsidRPr="00A76ECB">
        <w:rPr>
          <w:rFonts w:cs="Times New Roman"/>
          <w:sz w:val="20"/>
          <w:szCs w:val="20"/>
        </w:rPr>
        <w:t>The research is performed within the project „ interdisciplinary research on improving energy efficiency and increasing the share of renewable energy sources in the energy balance of Polish agriculture. (BIOGAS&amp;EE).  The experiment is co-financed from the National Center for Development and Research as part of the Biostrateg program.</w:t>
      </w:r>
    </w:p>
    <w:p w:rsidR="0093592F" w:rsidRPr="0093592F" w:rsidRDefault="0093592F" w:rsidP="0093592F">
      <w:pPr>
        <w:spacing w:before="39"/>
        <w:ind w:left="100"/>
        <w:rPr>
          <w:rFonts w:ascii="Minion Pro"/>
          <w:b/>
          <w:sz w:val="20"/>
        </w:rPr>
      </w:pPr>
    </w:p>
    <w:p w:rsidR="0093592F" w:rsidRPr="00B21A57" w:rsidRDefault="0093592F">
      <w:pPr>
        <w:spacing w:before="39"/>
        <w:ind w:left="100"/>
        <w:rPr>
          <w:rFonts w:ascii="Minion Pro"/>
          <w:b/>
          <w:sz w:val="20"/>
        </w:rPr>
      </w:pPr>
    </w:p>
    <w:p w:rsidR="0093592F" w:rsidRPr="0093592F" w:rsidRDefault="0093592F" w:rsidP="0093592F">
      <w:pPr>
        <w:rPr>
          <w:rFonts w:ascii="Minion Pro"/>
          <w:sz w:val="24"/>
        </w:rPr>
      </w:pPr>
    </w:p>
    <w:p w:rsidR="00F75CC6" w:rsidRDefault="00F75CC6">
      <w:pPr>
        <w:rPr>
          <w:rFonts w:ascii="Minion Pro"/>
          <w:sz w:val="24"/>
        </w:rPr>
        <w:sectPr w:rsidR="00F75CC6">
          <w:type w:val="continuous"/>
          <w:pgSz w:w="11910" w:h="16840"/>
          <w:pgMar w:top="1740" w:right="600" w:bottom="840" w:left="620" w:header="720" w:footer="720" w:gutter="0"/>
          <w:cols w:space="720"/>
        </w:sectPr>
      </w:pPr>
    </w:p>
    <w:p w:rsidR="00AE3E37" w:rsidRDefault="00AE3E37" w:rsidP="0093592F">
      <w:pPr>
        <w:pStyle w:val="Tekstpodstawowy"/>
        <w:spacing w:before="3"/>
        <w:rPr>
          <w:rFonts w:ascii="Minion Pro"/>
          <w:sz w:val="26"/>
        </w:rPr>
      </w:pPr>
      <w:bookmarkStart w:id="15" w:name="_GoBack"/>
      <w:bookmarkEnd w:id="15"/>
    </w:p>
    <w:sectPr w:rsidR="00AE3E37" w:rsidSect="004914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C86" w:rsidRDefault="00BB5C86">
      <w:r>
        <w:separator/>
      </w:r>
    </w:p>
  </w:endnote>
  <w:endnote w:type="continuationSeparator" w:id="0">
    <w:p w:rsidR="00BB5C86" w:rsidRDefault="00BB5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5C5ED502" wp14:editId="3D1E9F1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5ACA2EBD" wp14:editId="196FEC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75CC8919" wp14:editId="42B47C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C86" w:rsidRDefault="00BB5C86">
      <w:r>
        <w:separator/>
      </w:r>
    </w:p>
  </w:footnote>
  <w:footnote w:type="continuationSeparator" w:id="0">
    <w:p w:rsidR="00BB5C86" w:rsidRDefault="00BB5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14:anchorId="466BEE17" wp14:editId="3599D35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14:anchorId="694E0C38" wp14:editId="7237A9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5E1B"/>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3592F"/>
    <w:rsid w:val="009B2D44"/>
    <w:rsid w:val="00A07E82"/>
    <w:rsid w:val="00A9710C"/>
    <w:rsid w:val="00AE3E37"/>
    <w:rsid w:val="00B21A57"/>
    <w:rsid w:val="00BB5C86"/>
    <w:rsid w:val="00C33602"/>
    <w:rsid w:val="00CD6F55"/>
    <w:rsid w:val="00DE3104"/>
    <w:rsid w:val="00E26B10"/>
    <w:rsid w:val="00F72EEA"/>
    <w:rsid w:val="00F75CC6"/>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Default">
    <w:name w:val="Default"/>
    <w:rsid w:val="00145E1B"/>
    <w:pPr>
      <w:widowControl/>
      <w:autoSpaceDE w:val="0"/>
      <w:autoSpaceDN w:val="0"/>
      <w:adjustRightInd w:val="0"/>
    </w:pPr>
    <w:rPr>
      <w:rFonts w:ascii="Times New Roman" w:hAnsi="Times New Roman" w:cs="Times New Roman"/>
      <w:color w:val="000000"/>
      <w:sz w:val="24"/>
      <w:szCs w:val="24"/>
      <w:lang w:val="pl-PL"/>
    </w:rPr>
  </w:style>
  <w:style w:type="character" w:customStyle="1" w:styleId="tlid-translation">
    <w:name w:val="tlid-translation"/>
    <w:basedOn w:val="Domylnaczcionkaakapitu"/>
    <w:rsid w:val="00145E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Default">
    <w:name w:val="Default"/>
    <w:rsid w:val="00145E1B"/>
    <w:pPr>
      <w:widowControl/>
      <w:autoSpaceDE w:val="0"/>
      <w:autoSpaceDN w:val="0"/>
      <w:adjustRightInd w:val="0"/>
    </w:pPr>
    <w:rPr>
      <w:rFonts w:ascii="Times New Roman" w:hAnsi="Times New Roman" w:cs="Times New Roman"/>
      <w:color w:val="000000"/>
      <w:sz w:val="24"/>
      <w:szCs w:val="24"/>
      <w:lang w:val="pl-PL"/>
    </w:rPr>
  </w:style>
  <w:style w:type="character" w:customStyle="1" w:styleId="tlid-translation">
    <w:name w:val="tlid-translation"/>
    <w:basedOn w:val="Domylnaczcionkaakapitu"/>
    <w:rsid w:val="00145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546</Words>
  <Characters>3278</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Agata Witorożec</cp:lastModifiedBy>
  <cp:revision>3</cp:revision>
  <dcterms:created xsi:type="dcterms:W3CDTF">2019-03-12T06:40:00Z</dcterms:created>
  <dcterms:modified xsi:type="dcterms:W3CDTF">2019-03-12T06:42:00Z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