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B4C1E" w14:textId="633D57EB" w:rsidR="00AE3E37" w:rsidRDefault="002A4BA9" w:rsidP="00494130">
      <w:pPr>
        <w:pStyle w:val="Heading1"/>
        <w:spacing w:before="170"/>
        <w:ind w:left="0"/>
        <w:rPr>
          <w:color w:val="337AB7"/>
        </w:rPr>
      </w:pPr>
      <w:r>
        <w:rPr>
          <w:color w:val="337AB7"/>
        </w:rPr>
        <w:t>Bio</w:t>
      </w:r>
      <w:r w:rsidR="00A462E9">
        <w:rPr>
          <w:color w:val="337AB7"/>
        </w:rPr>
        <w:t>fuels</w:t>
      </w:r>
      <w:r>
        <w:rPr>
          <w:color w:val="337AB7"/>
        </w:rPr>
        <w:t xml:space="preserve">: </w:t>
      </w:r>
      <w:r w:rsidR="00792D00">
        <w:rPr>
          <w:color w:val="337AB7"/>
        </w:rPr>
        <w:t xml:space="preserve">Current </w:t>
      </w:r>
      <w:r>
        <w:rPr>
          <w:color w:val="337AB7"/>
        </w:rPr>
        <w:t>Markets</w:t>
      </w:r>
      <w:r w:rsidR="001A2C82">
        <w:rPr>
          <w:color w:val="337AB7"/>
        </w:rPr>
        <w:t xml:space="preserve">, </w:t>
      </w:r>
      <w:r>
        <w:rPr>
          <w:color w:val="337AB7"/>
        </w:rPr>
        <w:t xml:space="preserve">Policies </w:t>
      </w:r>
      <w:r w:rsidR="001A2C82">
        <w:rPr>
          <w:color w:val="337AB7"/>
        </w:rPr>
        <w:t>and</w:t>
      </w:r>
      <w:r>
        <w:rPr>
          <w:color w:val="337AB7"/>
        </w:rPr>
        <w:t xml:space="preserve"> </w:t>
      </w:r>
      <w:r w:rsidR="00792D00">
        <w:rPr>
          <w:color w:val="337AB7"/>
        </w:rPr>
        <w:t xml:space="preserve">the </w:t>
      </w:r>
      <w:r>
        <w:rPr>
          <w:color w:val="337AB7"/>
        </w:rPr>
        <w:t xml:space="preserve">Future </w:t>
      </w:r>
    </w:p>
    <w:p w14:paraId="4F35E84D" w14:textId="77777777" w:rsidR="001A2C82" w:rsidRDefault="001A2C82" w:rsidP="00494130">
      <w:pPr>
        <w:pStyle w:val="Heading1"/>
        <w:spacing w:before="170"/>
        <w:ind w:left="0"/>
      </w:pPr>
    </w:p>
    <w:p w14:paraId="709B4C1F" w14:textId="77777777" w:rsidR="005973B9" w:rsidRDefault="002A4BA9" w:rsidP="005973B9">
      <w:pPr>
        <w:pStyle w:val="BodyText"/>
        <w:spacing w:before="73" w:line="198" w:lineRule="exact"/>
        <w:ind w:left="100" w:right="5987"/>
        <w:rPr>
          <w:rFonts w:ascii="Arial"/>
        </w:rPr>
      </w:pPr>
      <w:r>
        <w:rPr>
          <w:rFonts w:ascii="Arial"/>
        </w:rPr>
        <w:t xml:space="preserve">Govinda R. Timilsina, Senior Economist, World Bank, Washington DC. </w:t>
      </w:r>
      <w:r w:rsidR="005973B9">
        <w:rPr>
          <w:rFonts w:ascii="Arial"/>
        </w:rPr>
        <w:t xml:space="preserve"> </w:t>
      </w:r>
    </w:p>
    <w:p w14:paraId="709B4C20" w14:textId="77777777" w:rsidR="00AE3E37" w:rsidRDefault="00AE3E37">
      <w:pPr>
        <w:pStyle w:val="BodyText"/>
        <w:rPr>
          <w:rFonts w:ascii="Arial"/>
          <w:sz w:val="20"/>
        </w:rPr>
      </w:pPr>
    </w:p>
    <w:p w14:paraId="709B4C21" w14:textId="77777777" w:rsidR="00AE3E37" w:rsidRDefault="00AE3E37">
      <w:pPr>
        <w:pStyle w:val="BodyText"/>
        <w:spacing w:before="3"/>
        <w:rPr>
          <w:rFonts w:ascii="Arial"/>
          <w:sz w:val="21"/>
        </w:rPr>
      </w:pPr>
    </w:p>
    <w:p w14:paraId="709B4C2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09B4C23" w14:textId="351D9482" w:rsidR="00AE3E37" w:rsidRDefault="00A9710C">
      <w:pPr>
        <w:pStyle w:val="Heading3"/>
        <w:spacing w:before="147"/>
        <w:jc w:val="both"/>
      </w:pPr>
      <w:r>
        <w:rPr>
          <w:color w:val="BF5A14"/>
        </w:rPr>
        <w:t>Abstract</w:t>
      </w:r>
      <w:r w:rsidR="00404E5B">
        <w:rPr>
          <w:color w:val="BF5A14"/>
        </w:rPr>
        <w:t xml:space="preserve"> </w:t>
      </w:r>
    </w:p>
    <w:p w14:paraId="709B4C25" w14:textId="3E22CA24" w:rsidR="00725C7B" w:rsidRPr="007467FA" w:rsidRDefault="002A4BA9">
      <w:pPr>
        <w:pStyle w:val="BodyText"/>
        <w:spacing w:before="90" w:line="280" w:lineRule="auto"/>
        <w:ind w:left="100"/>
        <w:jc w:val="both"/>
        <w:rPr>
          <w:rFonts w:asciiTheme="minorHAnsi" w:hAnsiTheme="minorHAnsi" w:cstheme="minorHAnsi"/>
          <w:sz w:val="16"/>
          <w:szCs w:val="16"/>
        </w:rPr>
      </w:pPr>
      <w:r w:rsidRPr="007467FA">
        <w:rPr>
          <w:rFonts w:asciiTheme="minorHAnsi" w:hAnsiTheme="minorHAnsi" w:cstheme="minorHAnsi"/>
          <w:sz w:val="16"/>
          <w:szCs w:val="16"/>
        </w:rPr>
        <w:t xml:space="preserve">During the </w:t>
      </w:r>
      <w:r w:rsidR="00BC3145" w:rsidRPr="007467FA">
        <w:rPr>
          <w:rFonts w:asciiTheme="minorHAnsi" w:hAnsiTheme="minorHAnsi" w:cstheme="minorHAnsi"/>
          <w:sz w:val="16"/>
          <w:szCs w:val="16"/>
        </w:rPr>
        <w:t xml:space="preserve">second half </w:t>
      </w:r>
      <w:r w:rsidRPr="007467FA">
        <w:rPr>
          <w:rFonts w:asciiTheme="minorHAnsi" w:hAnsiTheme="minorHAnsi" w:cstheme="minorHAnsi"/>
          <w:sz w:val="16"/>
          <w:szCs w:val="16"/>
        </w:rPr>
        <w:t>of 2000</w:t>
      </w:r>
      <w:r w:rsidR="00BC3145" w:rsidRPr="007467FA">
        <w:rPr>
          <w:rFonts w:asciiTheme="minorHAnsi" w:hAnsiTheme="minorHAnsi" w:cstheme="minorHAnsi"/>
          <w:sz w:val="16"/>
          <w:szCs w:val="16"/>
        </w:rPr>
        <w:t xml:space="preserve">, </w:t>
      </w:r>
      <w:r w:rsidR="00397C8D" w:rsidRPr="007467FA">
        <w:rPr>
          <w:rFonts w:asciiTheme="minorHAnsi" w:hAnsiTheme="minorHAnsi" w:cstheme="minorHAnsi"/>
          <w:sz w:val="16"/>
          <w:szCs w:val="16"/>
        </w:rPr>
        <w:t xml:space="preserve">the market of </w:t>
      </w:r>
      <w:r w:rsidR="00BC3145" w:rsidRPr="007467FA">
        <w:rPr>
          <w:rFonts w:asciiTheme="minorHAnsi" w:hAnsiTheme="minorHAnsi" w:cstheme="minorHAnsi"/>
          <w:sz w:val="16"/>
          <w:szCs w:val="16"/>
        </w:rPr>
        <w:t xml:space="preserve">liquid biofuels </w:t>
      </w:r>
      <w:r w:rsidR="00397C8D" w:rsidRPr="007467FA">
        <w:rPr>
          <w:rFonts w:asciiTheme="minorHAnsi" w:hAnsiTheme="minorHAnsi" w:cstheme="minorHAnsi"/>
          <w:sz w:val="16"/>
          <w:szCs w:val="16"/>
        </w:rPr>
        <w:t>(ethanol and biodiesel)</w:t>
      </w:r>
      <w:r w:rsidRPr="007467FA">
        <w:rPr>
          <w:rFonts w:asciiTheme="minorHAnsi" w:hAnsiTheme="minorHAnsi" w:cstheme="minorHAnsi"/>
          <w:sz w:val="16"/>
          <w:szCs w:val="16"/>
        </w:rPr>
        <w:t xml:space="preserve"> </w:t>
      </w:r>
      <w:r w:rsidR="00443ABC" w:rsidRPr="007467FA">
        <w:rPr>
          <w:rFonts w:asciiTheme="minorHAnsi" w:hAnsiTheme="minorHAnsi" w:cstheme="minorHAnsi"/>
          <w:sz w:val="16"/>
          <w:szCs w:val="16"/>
        </w:rPr>
        <w:t xml:space="preserve">increased rapidly due to </w:t>
      </w:r>
      <w:r w:rsidR="00AF0F4D" w:rsidRPr="007467FA">
        <w:rPr>
          <w:rFonts w:asciiTheme="minorHAnsi" w:hAnsiTheme="minorHAnsi" w:cstheme="minorHAnsi"/>
          <w:sz w:val="16"/>
          <w:szCs w:val="16"/>
        </w:rPr>
        <w:t xml:space="preserve">policy drives </w:t>
      </w:r>
      <w:r w:rsidR="000E03B4" w:rsidRPr="007467FA">
        <w:rPr>
          <w:rFonts w:asciiTheme="minorHAnsi" w:hAnsiTheme="minorHAnsi" w:cstheme="minorHAnsi"/>
          <w:sz w:val="16"/>
          <w:szCs w:val="16"/>
        </w:rPr>
        <w:t>(Figure 1)</w:t>
      </w:r>
      <w:r w:rsidRPr="007467FA">
        <w:rPr>
          <w:rFonts w:asciiTheme="minorHAnsi" w:hAnsiTheme="minorHAnsi" w:cstheme="minorHAnsi"/>
          <w:sz w:val="16"/>
          <w:szCs w:val="16"/>
        </w:rPr>
        <w:t xml:space="preserve">. </w:t>
      </w:r>
      <w:r w:rsidR="00AF0F4D" w:rsidRPr="007467FA">
        <w:rPr>
          <w:rFonts w:asciiTheme="minorHAnsi" w:hAnsiTheme="minorHAnsi" w:cstheme="minorHAnsi"/>
          <w:sz w:val="16"/>
          <w:szCs w:val="16"/>
        </w:rPr>
        <w:t>The</w:t>
      </w:r>
      <w:r w:rsidR="00DE14B8" w:rsidRPr="007467FA">
        <w:rPr>
          <w:rFonts w:asciiTheme="minorHAnsi" w:hAnsiTheme="minorHAnsi" w:cstheme="minorHAnsi"/>
          <w:sz w:val="16"/>
          <w:szCs w:val="16"/>
        </w:rPr>
        <w:t xml:space="preserve"> production of </w:t>
      </w:r>
      <w:r w:rsidRPr="007467FA">
        <w:rPr>
          <w:rFonts w:asciiTheme="minorHAnsi" w:hAnsiTheme="minorHAnsi" w:cstheme="minorHAnsi"/>
          <w:sz w:val="16"/>
          <w:szCs w:val="16"/>
        </w:rPr>
        <w:t xml:space="preserve">ethanol increased by </w:t>
      </w:r>
      <w:r w:rsidR="00243246">
        <w:rPr>
          <w:rFonts w:asciiTheme="minorHAnsi" w:hAnsiTheme="minorHAnsi" w:cstheme="minorHAnsi"/>
          <w:sz w:val="16"/>
          <w:szCs w:val="16"/>
        </w:rPr>
        <w:t>2.6</w:t>
      </w:r>
      <w:r w:rsidR="00227280" w:rsidRPr="007467FA">
        <w:rPr>
          <w:rFonts w:asciiTheme="minorHAnsi" w:hAnsiTheme="minorHAnsi" w:cstheme="minorHAnsi"/>
          <w:sz w:val="16"/>
          <w:szCs w:val="16"/>
        </w:rPr>
        <w:t xml:space="preserve"> times</w:t>
      </w:r>
      <w:r w:rsidRPr="007467FA">
        <w:rPr>
          <w:rFonts w:asciiTheme="minorHAnsi" w:hAnsiTheme="minorHAnsi" w:cstheme="minorHAnsi"/>
          <w:sz w:val="16"/>
          <w:szCs w:val="16"/>
        </w:rPr>
        <w:t xml:space="preserve"> </w:t>
      </w:r>
      <w:r w:rsidR="00C860E1" w:rsidRPr="007467FA">
        <w:rPr>
          <w:rFonts w:asciiTheme="minorHAnsi" w:hAnsiTheme="minorHAnsi" w:cstheme="minorHAnsi"/>
          <w:sz w:val="16"/>
          <w:szCs w:val="16"/>
        </w:rPr>
        <w:t>during that period</w:t>
      </w:r>
      <w:r w:rsidR="00227280" w:rsidRPr="007467FA">
        <w:rPr>
          <w:rFonts w:asciiTheme="minorHAnsi" w:hAnsiTheme="minorHAnsi" w:cstheme="minorHAnsi"/>
          <w:sz w:val="16"/>
          <w:szCs w:val="16"/>
        </w:rPr>
        <w:t>, whereas</w:t>
      </w:r>
      <w:r w:rsidRPr="007467FA">
        <w:rPr>
          <w:rFonts w:asciiTheme="minorHAnsi" w:hAnsiTheme="minorHAnsi" w:cstheme="minorHAnsi"/>
          <w:sz w:val="16"/>
          <w:szCs w:val="16"/>
        </w:rPr>
        <w:t xml:space="preserve"> </w:t>
      </w:r>
      <w:r w:rsidR="00227280" w:rsidRPr="007467FA">
        <w:rPr>
          <w:rFonts w:asciiTheme="minorHAnsi" w:hAnsiTheme="minorHAnsi" w:cstheme="minorHAnsi"/>
          <w:sz w:val="16"/>
          <w:szCs w:val="16"/>
        </w:rPr>
        <w:t>the</w:t>
      </w:r>
      <w:r w:rsidR="00DE14B8" w:rsidRPr="007467FA">
        <w:rPr>
          <w:rFonts w:asciiTheme="minorHAnsi" w:hAnsiTheme="minorHAnsi" w:cstheme="minorHAnsi"/>
          <w:sz w:val="16"/>
          <w:szCs w:val="16"/>
        </w:rPr>
        <w:t xml:space="preserve"> production of </w:t>
      </w:r>
      <w:r w:rsidRPr="007467FA">
        <w:rPr>
          <w:rFonts w:asciiTheme="minorHAnsi" w:hAnsiTheme="minorHAnsi" w:cstheme="minorHAnsi"/>
          <w:sz w:val="16"/>
          <w:szCs w:val="16"/>
        </w:rPr>
        <w:t xml:space="preserve">biodiesel increased </w:t>
      </w:r>
      <w:r w:rsidR="00DE14B8" w:rsidRPr="007467FA">
        <w:rPr>
          <w:rFonts w:asciiTheme="minorHAnsi" w:hAnsiTheme="minorHAnsi" w:cstheme="minorHAnsi"/>
          <w:sz w:val="16"/>
          <w:szCs w:val="16"/>
        </w:rPr>
        <w:t>by</w:t>
      </w:r>
      <w:r w:rsidRPr="007467FA">
        <w:rPr>
          <w:rFonts w:asciiTheme="minorHAnsi" w:hAnsiTheme="minorHAnsi" w:cstheme="minorHAnsi"/>
          <w:sz w:val="16"/>
          <w:szCs w:val="16"/>
        </w:rPr>
        <w:t xml:space="preserve"> </w:t>
      </w:r>
      <w:r w:rsidR="00243246">
        <w:rPr>
          <w:rFonts w:asciiTheme="minorHAnsi" w:hAnsiTheme="minorHAnsi" w:cstheme="minorHAnsi"/>
          <w:sz w:val="16"/>
          <w:szCs w:val="16"/>
        </w:rPr>
        <w:t>4.5</w:t>
      </w:r>
      <w:r w:rsidR="007E616D" w:rsidRPr="007467FA">
        <w:rPr>
          <w:rFonts w:asciiTheme="minorHAnsi" w:hAnsiTheme="minorHAnsi" w:cstheme="minorHAnsi"/>
          <w:sz w:val="16"/>
          <w:szCs w:val="16"/>
        </w:rPr>
        <w:t xml:space="preserve"> times. </w:t>
      </w:r>
      <w:r w:rsidRPr="007467FA">
        <w:rPr>
          <w:rFonts w:asciiTheme="minorHAnsi" w:hAnsiTheme="minorHAnsi" w:cstheme="minorHAnsi"/>
          <w:sz w:val="16"/>
          <w:szCs w:val="16"/>
        </w:rPr>
        <w:t xml:space="preserve"> </w:t>
      </w:r>
      <w:r w:rsidR="00C21D02" w:rsidRPr="007467FA">
        <w:rPr>
          <w:rFonts w:asciiTheme="minorHAnsi" w:hAnsiTheme="minorHAnsi" w:cstheme="minorHAnsi"/>
          <w:sz w:val="16"/>
          <w:szCs w:val="16"/>
        </w:rPr>
        <w:t xml:space="preserve">This rapid increase, however, </w:t>
      </w:r>
      <w:r w:rsidR="00121C14" w:rsidRPr="007467FA">
        <w:rPr>
          <w:rFonts w:asciiTheme="minorHAnsi" w:hAnsiTheme="minorHAnsi" w:cstheme="minorHAnsi"/>
          <w:sz w:val="16"/>
          <w:szCs w:val="16"/>
        </w:rPr>
        <w:t xml:space="preserve">paused </w:t>
      </w:r>
      <w:r w:rsidR="00E205E3" w:rsidRPr="007467FA">
        <w:rPr>
          <w:rFonts w:asciiTheme="minorHAnsi" w:hAnsiTheme="minorHAnsi" w:cstheme="minorHAnsi"/>
          <w:sz w:val="16"/>
          <w:szCs w:val="16"/>
        </w:rPr>
        <w:t xml:space="preserve">in </w:t>
      </w:r>
      <w:r w:rsidR="00E90187" w:rsidRPr="007467FA">
        <w:rPr>
          <w:rFonts w:asciiTheme="minorHAnsi" w:hAnsiTheme="minorHAnsi" w:cstheme="minorHAnsi"/>
          <w:sz w:val="16"/>
          <w:szCs w:val="16"/>
        </w:rPr>
        <w:t xml:space="preserve">the next </w:t>
      </w:r>
      <w:r w:rsidR="009B1C30" w:rsidRPr="007467FA">
        <w:rPr>
          <w:rFonts w:asciiTheme="minorHAnsi" w:hAnsiTheme="minorHAnsi" w:cstheme="minorHAnsi"/>
          <w:sz w:val="16"/>
          <w:szCs w:val="16"/>
        </w:rPr>
        <w:t>two</w:t>
      </w:r>
      <w:r w:rsidR="00E90187" w:rsidRPr="007467FA">
        <w:rPr>
          <w:rFonts w:asciiTheme="minorHAnsi" w:hAnsiTheme="minorHAnsi" w:cstheme="minorHAnsi"/>
          <w:sz w:val="16"/>
          <w:szCs w:val="16"/>
        </w:rPr>
        <w:t xml:space="preserve"> years due to </w:t>
      </w:r>
      <w:r w:rsidR="00CF0784" w:rsidRPr="007467FA">
        <w:rPr>
          <w:rFonts w:asciiTheme="minorHAnsi" w:hAnsiTheme="minorHAnsi" w:cstheme="minorHAnsi"/>
          <w:sz w:val="16"/>
          <w:szCs w:val="16"/>
        </w:rPr>
        <w:t xml:space="preserve">the </w:t>
      </w:r>
      <w:r w:rsidR="00786EE1">
        <w:rPr>
          <w:rFonts w:asciiTheme="minorHAnsi" w:hAnsiTheme="minorHAnsi" w:cstheme="minorHAnsi"/>
          <w:sz w:val="16"/>
          <w:szCs w:val="16"/>
        </w:rPr>
        <w:t xml:space="preserve">controversy </w:t>
      </w:r>
      <w:r w:rsidR="007225D7">
        <w:rPr>
          <w:rFonts w:asciiTheme="minorHAnsi" w:hAnsiTheme="minorHAnsi" w:cstheme="minorHAnsi"/>
          <w:sz w:val="16"/>
          <w:szCs w:val="16"/>
        </w:rPr>
        <w:t xml:space="preserve">created by a </w:t>
      </w:r>
      <w:r w:rsidR="00430788">
        <w:rPr>
          <w:rFonts w:asciiTheme="minorHAnsi" w:hAnsiTheme="minorHAnsi" w:cstheme="minorHAnsi"/>
          <w:sz w:val="16"/>
          <w:szCs w:val="16"/>
        </w:rPr>
        <w:t xml:space="preserve">suspicion that biofuels might have </w:t>
      </w:r>
      <w:r w:rsidR="00943BE5">
        <w:rPr>
          <w:rFonts w:asciiTheme="minorHAnsi" w:hAnsiTheme="minorHAnsi" w:cstheme="minorHAnsi"/>
          <w:sz w:val="16"/>
          <w:szCs w:val="16"/>
        </w:rPr>
        <w:t xml:space="preserve">fueled the </w:t>
      </w:r>
      <w:r w:rsidR="00402755">
        <w:rPr>
          <w:rFonts w:asciiTheme="minorHAnsi" w:hAnsiTheme="minorHAnsi" w:cstheme="minorHAnsi"/>
          <w:sz w:val="16"/>
          <w:szCs w:val="16"/>
        </w:rPr>
        <w:t xml:space="preserve">2007-08 </w:t>
      </w:r>
      <w:r w:rsidR="00CF0784" w:rsidRPr="007467FA">
        <w:rPr>
          <w:rFonts w:asciiTheme="minorHAnsi" w:hAnsiTheme="minorHAnsi" w:cstheme="minorHAnsi"/>
          <w:sz w:val="16"/>
          <w:szCs w:val="16"/>
        </w:rPr>
        <w:t>global food crisis</w:t>
      </w:r>
      <w:r w:rsidR="009B1C30" w:rsidRPr="007467FA">
        <w:rPr>
          <w:rFonts w:asciiTheme="minorHAnsi" w:hAnsiTheme="minorHAnsi" w:cstheme="minorHAnsi"/>
          <w:sz w:val="16"/>
          <w:szCs w:val="16"/>
        </w:rPr>
        <w:t>.</w:t>
      </w:r>
      <w:r w:rsidR="00E626E7" w:rsidRPr="007467FA">
        <w:rPr>
          <w:rFonts w:asciiTheme="minorHAnsi" w:hAnsiTheme="minorHAnsi" w:cstheme="minorHAnsi"/>
          <w:sz w:val="16"/>
          <w:szCs w:val="16"/>
        </w:rPr>
        <w:t xml:space="preserve"> </w:t>
      </w:r>
      <w:r w:rsidR="00616970" w:rsidRPr="007467FA">
        <w:rPr>
          <w:rFonts w:asciiTheme="minorHAnsi" w:hAnsiTheme="minorHAnsi" w:cstheme="minorHAnsi"/>
          <w:sz w:val="16"/>
          <w:szCs w:val="16"/>
        </w:rPr>
        <w:t xml:space="preserve">The growth of biofuels started again </w:t>
      </w:r>
      <w:r w:rsidR="007225D7">
        <w:rPr>
          <w:rFonts w:asciiTheme="minorHAnsi" w:hAnsiTheme="minorHAnsi" w:cstheme="minorHAnsi"/>
          <w:sz w:val="16"/>
          <w:szCs w:val="16"/>
        </w:rPr>
        <w:t>in 201</w:t>
      </w:r>
      <w:r w:rsidR="007730DE">
        <w:rPr>
          <w:rFonts w:asciiTheme="minorHAnsi" w:hAnsiTheme="minorHAnsi" w:cstheme="minorHAnsi"/>
          <w:sz w:val="16"/>
          <w:szCs w:val="16"/>
        </w:rPr>
        <w:t>3</w:t>
      </w:r>
      <w:r w:rsidR="004B1964">
        <w:rPr>
          <w:rFonts w:asciiTheme="minorHAnsi" w:hAnsiTheme="minorHAnsi" w:cstheme="minorHAnsi"/>
          <w:sz w:val="16"/>
          <w:szCs w:val="16"/>
        </w:rPr>
        <w:t xml:space="preserve"> </w:t>
      </w:r>
      <w:r w:rsidR="00616970" w:rsidRPr="007467FA">
        <w:rPr>
          <w:rFonts w:asciiTheme="minorHAnsi" w:hAnsiTheme="minorHAnsi" w:cstheme="minorHAnsi"/>
          <w:sz w:val="16"/>
          <w:szCs w:val="16"/>
        </w:rPr>
        <w:t>but at a slower rate</w:t>
      </w:r>
      <w:r w:rsidR="00192B7D" w:rsidRPr="007467FA">
        <w:rPr>
          <w:rFonts w:asciiTheme="minorHAnsi" w:hAnsiTheme="minorHAnsi" w:cstheme="minorHAnsi"/>
          <w:sz w:val="16"/>
          <w:szCs w:val="16"/>
        </w:rPr>
        <w:t>. It is still growing</w:t>
      </w:r>
      <w:r w:rsidR="007730DE">
        <w:rPr>
          <w:rFonts w:asciiTheme="minorHAnsi" w:hAnsiTheme="minorHAnsi" w:cstheme="minorHAnsi"/>
          <w:sz w:val="16"/>
          <w:szCs w:val="16"/>
        </w:rPr>
        <w:t xml:space="preserve">, it </w:t>
      </w:r>
      <w:r w:rsidR="008E70AD">
        <w:rPr>
          <w:rFonts w:asciiTheme="minorHAnsi" w:hAnsiTheme="minorHAnsi" w:cstheme="minorHAnsi"/>
          <w:sz w:val="16"/>
          <w:szCs w:val="16"/>
        </w:rPr>
        <w:t xml:space="preserve">grew by 7% in 2018. </w:t>
      </w:r>
      <w:r w:rsidR="00192B7D" w:rsidRPr="007467FA">
        <w:rPr>
          <w:rFonts w:asciiTheme="minorHAnsi" w:hAnsiTheme="minorHAnsi" w:cstheme="minorHAnsi"/>
          <w:sz w:val="16"/>
          <w:szCs w:val="16"/>
        </w:rPr>
        <w:t xml:space="preserve"> </w:t>
      </w:r>
      <w:r w:rsidR="008E70AD">
        <w:rPr>
          <w:rFonts w:asciiTheme="minorHAnsi" w:hAnsiTheme="minorHAnsi" w:cstheme="minorHAnsi"/>
          <w:sz w:val="16"/>
          <w:szCs w:val="16"/>
        </w:rPr>
        <w:t xml:space="preserve">The revival </w:t>
      </w:r>
      <w:r w:rsidR="00C91338">
        <w:rPr>
          <w:rFonts w:asciiTheme="minorHAnsi" w:hAnsiTheme="minorHAnsi" w:cstheme="minorHAnsi"/>
          <w:sz w:val="16"/>
          <w:szCs w:val="16"/>
        </w:rPr>
        <w:t xml:space="preserve">biofuels growth occurred </w:t>
      </w:r>
      <w:r w:rsidR="00725C7B" w:rsidRPr="007467FA">
        <w:rPr>
          <w:rFonts w:asciiTheme="minorHAnsi" w:hAnsiTheme="minorHAnsi" w:cstheme="minorHAnsi"/>
          <w:sz w:val="16"/>
          <w:szCs w:val="16"/>
        </w:rPr>
        <w:t xml:space="preserve">despite the several adverse factors such as </w:t>
      </w:r>
      <w:r w:rsidRPr="007467FA">
        <w:rPr>
          <w:rFonts w:asciiTheme="minorHAnsi" w:hAnsiTheme="minorHAnsi" w:cstheme="minorHAnsi"/>
          <w:sz w:val="16"/>
          <w:szCs w:val="16"/>
        </w:rPr>
        <w:t>fuel vs. food controversy, indirect land-use change debate, drop</w:t>
      </w:r>
      <w:r w:rsidR="00725C7B" w:rsidRPr="007467FA">
        <w:rPr>
          <w:rFonts w:asciiTheme="minorHAnsi" w:hAnsiTheme="minorHAnsi" w:cstheme="minorHAnsi"/>
          <w:sz w:val="16"/>
          <w:szCs w:val="16"/>
        </w:rPr>
        <w:t>s</w:t>
      </w:r>
      <w:r w:rsidRPr="007467FA">
        <w:rPr>
          <w:rFonts w:asciiTheme="minorHAnsi" w:hAnsiTheme="minorHAnsi" w:cstheme="minorHAnsi"/>
          <w:sz w:val="16"/>
          <w:szCs w:val="16"/>
        </w:rPr>
        <w:t xml:space="preserve"> in oil prices</w:t>
      </w:r>
      <w:r w:rsidR="00B27312">
        <w:rPr>
          <w:rFonts w:asciiTheme="minorHAnsi" w:hAnsiTheme="minorHAnsi" w:cstheme="minorHAnsi"/>
          <w:sz w:val="16"/>
          <w:szCs w:val="16"/>
        </w:rPr>
        <w:t>.</w:t>
      </w:r>
      <w:r w:rsidR="001A2C82" w:rsidRPr="007467FA">
        <w:rPr>
          <w:rFonts w:asciiTheme="minorHAnsi" w:hAnsiTheme="minorHAnsi" w:cstheme="minorHAnsi"/>
          <w:sz w:val="16"/>
          <w:szCs w:val="16"/>
        </w:rPr>
        <w:t xml:space="preserve"> </w:t>
      </w:r>
    </w:p>
    <w:p w14:paraId="709B4C26" w14:textId="2594DE08" w:rsidR="00445BE2" w:rsidRPr="007467FA" w:rsidRDefault="00F70AE5">
      <w:pPr>
        <w:pStyle w:val="BodyText"/>
        <w:spacing w:before="90" w:line="280" w:lineRule="auto"/>
        <w:ind w:left="100"/>
        <w:jc w:val="both"/>
        <w:rPr>
          <w:rFonts w:asciiTheme="minorHAnsi" w:hAnsiTheme="minorHAnsi" w:cstheme="minorHAnsi"/>
          <w:sz w:val="16"/>
          <w:szCs w:val="16"/>
        </w:rPr>
      </w:pPr>
      <w:r w:rsidRPr="007467FA">
        <w:rPr>
          <w:rFonts w:asciiTheme="minorHAnsi" w:hAnsiTheme="minorHAnsi" w:cstheme="minorHAnsi"/>
          <w:sz w:val="16"/>
          <w:szCs w:val="16"/>
        </w:rPr>
        <w:t>Government policies are the major drivers for the continuous growth of bio</w:t>
      </w:r>
      <w:r w:rsidR="00A462E9" w:rsidRPr="007467FA">
        <w:rPr>
          <w:rFonts w:asciiTheme="minorHAnsi" w:hAnsiTheme="minorHAnsi" w:cstheme="minorHAnsi"/>
          <w:sz w:val="16"/>
          <w:szCs w:val="16"/>
        </w:rPr>
        <w:t>fuels</w:t>
      </w:r>
      <w:r w:rsidRPr="007467FA">
        <w:rPr>
          <w:rFonts w:asciiTheme="minorHAnsi" w:hAnsiTheme="minorHAnsi" w:cstheme="minorHAnsi"/>
          <w:sz w:val="16"/>
          <w:szCs w:val="16"/>
        </w:rPr>
        <w:t xml:space="preserve">. Policy instruments include blending mandates, tax exemption or rebate, direct investment grants. </w:t>
      </w:r>
      <w:r w:rsidR="00BB31C4">
        <w:rPr>
          <w:rFonts w:asciiTheme="minorHAnsi" w:hAnsiTheme="minorHAnsi" w:cstheme="minorHAnsi"/>
          <w:sz w:val="16"/>
          <w:szCs w:val="16"/>
        </w:rPr>
        <w:t>M</w:t>
      </w:r>
      <w:r w:rsidR="00A462E9" w:rsidRPr="007467FA">
        <w:rPr>
          <w:rFonts w:asciiTheme="minorHAnsi" w:hAnsiTheme="minorHAnsi" w:cstheme="minorHAnsi"/>
          <w:sz w:val="16"/>
          <w:szCs w:val="16"/>
        </w:rPr>
        <w:t xml:space="preserve">ore than </w:t>
      </w:r>
      <w:r w:rsidR="008009B8">
        <w:rPr>
          <w:rFonts w:asciiTheme="minorHAnsi" w:hAnsiTheme="minorHAnsi" w:cstheme="minorHAnsi"/>
          <w:sz w:val="16"/>
          <w:szCs w:val="16"/>
        </w:rPr>
        <w:t>56</w:t>
      </w:r>
      <w:r w:rsidRPr="007467FA">
        <w:rPr>
          <w:rFonts w:asciiTheme="minorHAnsi" w:hAnsiTheme="minorHAnsi" w:cstheme="minorHAnsi"/>
          <w:sz w:val="16"/>
          <w:szCs w:val="16"/>
        </w:rPr>
        <w:t xml:space="preserve"> countries around the world have </w:t>
      </w:r>
      <w:r w:rsidR="0078524F" w:rsidRPr="007467FA">
        <w:rPr>
          <w:rFonts w:asciiTheme="minorHAnsi" w:hAnsiTheme="minorHAnsi" w:cstheme="minorHAnsi"/>
          <w:sz w:val="16"/>
          <w:szCs w:val="16"/>
        </w:rPr>
        <w:t xml:space="preserve">introduced </w:t>
      </w:r>
      <w:r w:rsidRPr="007467FA">
        <w:rPr>
          <w:rFonts w:asciiTheme="minorHAnsi" w:hAnsiTheme="minorHAnsi" w:cstheme="minorHAnsi"/>
          <w:sz w:val="16"/>
          <w:szCs w:val="16"/>
        </w:rPr>
        <w:t>explicit blending mandates for bio</w:t>
      </w:r>
      <w:r w:rsidR="00A462E9" w:rsidRPr="007467FA">
        <w:rPr>
          <w:rFonts w:asciiTheme="minorHAnsi" w:hAnsiTheme="minorHAnsi" w:cstheme="minorHAnsi"/>
          <w:sz w:val="16"/>
          <w:szCs w:val="16"/>
        </w:rPr>
        <w:t>fuels</w:t>
      </w:r>
      <w:r w:rsidR="0078524F" w:rsidRPr="007467FA">
        <w:rPr>
          <w:rFonts w:asciiTheme="minorHAnsi" w:hAnsiTheme="minorHAnsi" w:cstheme="minorHAnsi"/>
          <w:sz w:val="16"/>
          <w:szCs w:val="16"/>
        </w:rPr>
        <w:t xml:space="preserve"> (existing or planned)</w:t>
      </w:r>
      <w:r w:rsidRPr="007467FA">
        <w:rPr>
          <w:rFonts w:asciiTheme="minorHAnsi" w:hAnsiTheme="minorHAnsi" w:cstheme="minorHAnsi"/>
          <w:sz w:val="16"/>
          <w:szCs w:val="16"/>
        </w:rPr>
        <w:t xml:space="preserve">. </w:t>
      </w:r>
      <w:r w:rsidR="00A462E9" w:rsidRPr="007467FA">
        <w:rPr>
          <w:rFonts w:asciiTheme="minorHAnsi" w:hAnsiTheme="minorHAnsi" w:cstheme="minorHAnsi"/>
          <w:sz w:val="16"/>
          <w:szCs w:val="16"/>
        </w:rPr>
        <w:t xml:space="preserve">Some countries (e.g. </w:t>
      </w:r>
      <w:r w:rsidRPr="007467FA">
        <w:rPr>
          <w:rFonts w:asciiTheme="minorHAnsi" w:hAnsiTheme="minorHAnsi" w:cstheme="minorHAnsi"/>
          <w:sz w:val="16"/>
          <w:szCs w:val="16"/>
        </w:rPr>
        <w:t xml:space="preserve"> </w:t>
      </w:r>
      <w:r w:rsidR="00445BE2" w:rsidRPr="007467FA">
        <w:rPr>
          <w:rFonts w:asciiTheme="minorHAnsi" w:hAnsiTheme="minorHAnsi" w:cstheme="minorHAnsi"/>
          <w:sz w:val="16"/>
          <w:szCs w:val="16"/>
        </w:rPr>
        <w:t>Costa Rica</w:t>
      </w:r>
      <w:r w:rsidR="0078524F" w:rsidRPr="007467FA">
        <w:rPr>
          <w:rFonts w:asciiTheme="minorHAnsi" w:hAnsiTheme="minorHAnsi" w:cstheme="minorHAnsi"/>
          <w:sz w:val="16"/>
          <w:szCs w:val="16"/>
        </w:rPr>
        <w:t xml:space="preserve">, Brazil, </w:t>
      </w:r>
      <w:r w:rsidR="007D6779">
        <w:rPr>
          <w:rFonts w:asciiTheme="minorHAnsi" w:hAnsiTheme="minorHAnsi" w:cstheme="minorHAnsi"/>
          <w:sz w:val="16"/>
          <w:szCs w:val="16"/>
        </w:rPr>
        <w:t xml:space="preserve">India, </w:t>
      </w:r>
      <w:r w:rsidR="0078524F" w:rsidRPr="007467FA">
        <w:rPr>
          <w:rFonts w:asciiTheme="minorHAnsi" w:hAnsiTheme="minorHAnsi" w:cstheme="minorHAnsi"/>
          <w:sz w:val="16"/>
          <w:szCs w:val="16"/>
        </w:rPr>
        <w:t>Indonesia, Paraguay</w:t>
      </w:r>
      <w:r w:rsidR="007D6779">
        <w:rPr>
          <w:rFonts w:asciiTheme="minorHAnsi" w:hAnsiTheme="minorHAnsi" w:cstheme="minorHAnsi"/>
          <w:sz w:val="16"/>
          <w:szCs w:val="16"/>
        </w:rPr>
        <w:t xml:space="preserve"> and Zimbabw</w:t>
      </w:r>
      <w:r w:rsidR="00BB31C4">
        <w:rPr>
          <w:rFonts w:asciiTheme="minorHAnsi" w:hAnsiTheme="minorHAnsi" w:cstheme="minorHAnsi"/>
          <w:sz w:val="16"/>
          <w:szCs w:val="16"/>
        </w:rPr>
        <w:t>e</w:t>
      </w:r>
      <w:r w:rsidR="00A462E9" w:rsidRPr="007467FA">
        <w:rPr>
          <w:rFonts w:asciiTheme="minorHAnsi" w:hAnsiTheme="minorHAnsi" w:cstheme="minorHAnsi"/>
          <w:sz w:val="16"/>
          <w:szCs w:val="16"/>
        </w:rPr>
        <w:t>)</w:t>
      </w:r>
      <w:r w:rsidR="00445BE2" w:rsidRPr="007467FA">
        <w:rPr>
          <w:rFonts w:asciiTheme="minorHAnsi" w:hAnsiTheme="minorHAnsi" w:cstheme="minorHAnsi"/>
          <w:sz w:val="16"/>
          <w:szCs w:val="16"/>
        </w:rPr>
        <w:t xml:space="preserve"> ha</w:t>
      </w:r>
      <w:r w:rsidR="0078524F" w:rsidRPr="007467FA">
        <w:rPr>
          <w:rFonts w:asciiTheme="minorHAnsi" w:hAnsiTheme="minorHAnsi" w:cstheme="minorHAnsi"/>
          <w:sz w:val="16"/>
          <w:szCs w:val="16"/>
        </w:rPr>
        <w:t>ve</w:t>
      </w:r>
      <w:r w:rsidR="00445BE2" w:rsidRPr="007467FA">
        <w:rPr>
          <w:rFonts w:asciiTheme="minorHAnsi" w:hAnsiTheme="minorHAnsi" w:cstheme="minorHAnsi"/>
          <w:sz w:val="16"/>
          <w:szCs w:val="16"/>
        </w:rPr>
        <w:t xml:space="preserve"> </w:t>
      </w:r>
      <w:r w:rsidR="0078524F" w:rsidRPr="007467FA">
        <w:rPr>
          <w:rFonts w:asciiTheme="minorHAnsi" w:hAnsiTheme="minorHAnsi" w:cstheme="minorHAnsi"/>
          <w:sz w:val="16"/>
          <w:szCs w:val="16"/>
        </w:rPr>
        <w:t>mandates to blend biofuels more than 20% by volume.</w:t>
      </w:r>
      <w:r w:rsidR="00445BE2" w:rsidRPr="007467FA">
        <w:rPr>
          <w:rFonts w:asciiTheme="minorHAnsi" w:hAnsiTheme="minorHAnsi" w:cstheme="minorHAnsi"/>
          <w:sz w:val="16"/>
          <w:szCs w:val="16"/>
        </w:rPr>
        <w:t xml:space="preserve"> </w:t>
      </w:r>
    </w:p>
    <w:p w14:paraId="48F4D2AC" w14:textId="2E582CE6" w:rsidR="001A2C82" w:rsidRPr="007467FA" w:rsidRDefault="0078524F" w:rsidP="001A2C82">
      <w:pPr>
        <w:pStyle w:val="BodyText"/>
        <w:spacing w:before="90" w:line="280" w:lineRule="auto"/>
        <w:ind w:left="100"/>
        <w:jc w:val="both"/>
        <w:rPr>
          <w:rFonts w:asciiTheme="minorHAnsi" w:hAnsiTheme="minorHAnsi" w:cstheme="minorHAnsi"/>
          <w:sz w:val="16"/>
          <w:szCs w:val="16"/>
        </w:rPr>
      </w:pPr>
      <w:r w:rsidRPr="007467FA">
        <w:rPr>
          <w:rFonts w:asciiTheme="minorHAnsi" w:hAnsiTheme="minorHAnsi" w:cstheme="minorHAnsi"/>
          <w:sz w:val="16"/>
          <w:szCs w:val="16"/>
        </w:rPr>
        <w:t xml:space="preserve">Despite many obstacles </w:t>
      </w:r>
      <w:r w:rsidR="0006603B">
        <w:rPr>
          <w:rFonts w:asciiTheme="minorHAnsi" w:hAnsiTheme="minorHAnsi" w:cstheme="minorHAnsi"/>
          <w:sz w:val="16"/>
          <w:szCs w:val="16"/>
        </w:rPr>
        <w:t xml:space="preserve">and food vs. fuel controversy, the </w:t>
      </w:r>
      <w:r w:rsidRPr="007467FA">
        <w:rPr>
          <w:rFonts w:asciiTheme="minorHAnsi" w:hAnsiTheme="minorHAnsi" w:cstheme="minorHAnsi"/>
          <w:sz w:val="16"/>
          <w:szCs w:val="16"/>
        </w:rPr>
        <w:t>production of biofuels has increased over</w:t>
      </w:r>
      <w:r w:rsidR="00BB31C4">
        <w:rPr>
          <w:rFonts w:asciiTheme="minorHAnsi" w:hAnsiTheme="minorHAnsi" w:cstheme="minorHAnsi"/>
          <w:sz w:val="16"/>
          <w:szCs w:val="16"/>
        </w:rPr>
        <w:t xml:space="preserve"> </w:t>
      </w:r>
      <w:r w:rsidRPr="007467FA">
        <w:rPr>
          <w:rFonts w:asciiTheme="minorHAnsi" w:hAnsiTheme="minorHAnsi" w:cstheme="minorHAnsi"/>
          <w:sz w:val="16"/>
          <w:szCs w:val="16"/>
        </w:rPr>
        <w:t xml:space="preserve">time. </w:t>
      </w:r>
      <w:r w:rsidR="00BB31C4">
        <w:rPr>
          <w:rFonts w:asciiTheme="minorHAnsi" w:hAnsiTheme="minorHAnsi" w:cstheme="minorHAnsi"/>
          <w:sz w:val="16"/>
          <w:szCs w:val="16"/>
        </w:rPr>
        <w:t>The a</w:t>
      </w:r>
      <w:r w:rsidR="006909DF">
        <w:rPr>
          <w:rFonts w:asciiTheme="minorHAnsi" w:hAnsiTheme="minorHAnsi" w:cstheme="minorHAnsi"/>
          <w:sz w:val="16"/>
          <w:szCs w:val="16"/>
        </w:rPr>
        <w:t xml:space="preserve">viation sector </w:t>
      </w:r>
      <w:r w:rsidR="00791516">
        <w:rPr>
          <w:rFonts w:asciiTheme="minorHAnsi" w:hAnsiTheme="minorHAnsi" w:cstheme="minorHAnsi"/>
          <w:sz w:val="16"/>
          <w:szCs w:val="16"/>
        </w:rPr>
        <w:t>is</w:t>
      </w:r>
      <w:r w:rsidR="006909DF">
        <w:rPr>
          <w:rFonts w:asciiTheme="minorHAnsi" w:hAnsiTheme="minorHAnsi" w:cstheme="minorHAnsi"/>
          <w:sz w:val="16"/>
          <w:szCs w:val="16"/>
        </w:rPr>
        <w:t xml:space="preserve"> also </w:t>
      </w:r>
      <w:r w:rsidR="00791516">
        <w:rPr>
          <w:rFonts w:asciiTheme="minorHAnsi" w:hAnsiTheme="minorHAnsi" w:cstheme="minorHAnsi"/>
          <w:sz w:val="16"/>
          <w:szCs w:val="16"/>
        </w:rPr>
        <w:t xml:space="preserve">looking for using biofuels. </w:t>
      </w:r>
      <w:r w:rsidRPr="007467FA">
        <w:rPr>
          <w:rFonts w:asciiTheme="minorHAnsi" w:hAnsiTheme="minorHAnsi" w:cstheme="minorHAnsi"/>
          <w:sz w:val="16"/>
          <w:szCs w:val="16"/>
        </w:rPr>
        <w:t xml:space="preserve">Although the recent production growth (after 2010) is not as high as that of </w:t>
      </w:r>
      <w:r w:rsidR="00BB31C4">
        <w:rPr>
          <w:rFonts w:asciiTheme="minorHAnsi" w:hAnsiTheme="minorHAnsi" w:cstheme="minorHAnsi"/>
          <w:sz w:val="16"/>
          <w:szCs w:val="16"/>
        </w:rPr>
        <w:t xml:space="preserve">the </w:t>
      </w:r>
      <w:r w:rsidRPr="007467FA">
        <w:rPr>
          <w:rFonts w:asciiTheme="minorHAnsi" w:hAnsiTheme="minorHAnsi" w:cstheme="minorHAnsi"/>
          <w:sz w:val="16"/>
          <w:szCs w:val="16"/>
        </w:rPr>
        <w:t xml:space="preserve">early 2000s, </w:t>
      </w:r>
      <w:r w:rsidR="007978E3">
        <w:rPr>
          <w:rFonts w:asciiTheme="minorHAnsi" w:hAnsiTheme="minorHAnsi" w:cstheme="minorHAnsi"/>
          <w:sz w:val="16"/>
          <w:szCs w:val="16"/>
        </w:rPr>
        <w:t>t</w:t>
      </w:r>
      <w:r w:rsidR="00791516">
        <w:rPr>
          <w:rFonts w:asciiTheme="minorHAnsi" w:hAnsiTheme="minorHAnsi" w:cstheme="minorHAnsi"/>
          <w:sz w:val="16"/>
          <w:szCs w:val="16"/>
        </w:rPr>
        <w:t xml:space="preserve">he growth is expected to </w:t>
      </w:r>
      <w:r w:rsidR="00590D01">
        <w:rPr>
          <w:rFonts w:asciiTheme="minorHAnsi" w:hAnsiTheme="minorHAnsi" w:cstheme="minorHAnsi"/>
          <w:sz w:val="16"/>
          <w:szCs w:val="16"/>
        </w:rPr>
        <w:t>be maintained</w:t>
      </w:r>
      <w:r w:rsidR="00791516">
        <w:rPr>
          <w:rFonts w:asciiTheme="minorHAnsi" w:hAnsiTheme="minorHAnsi" w:cstheme="minorHAnsi"/>
          <w:sz w:val="16"/>
          <w:szCs w:val="16"/>
        </w:rPr>
        <w:t xml:space="preserve"> </w:t>
      </w:r>
      <w:r w:rsidR="00BB31C4">
        <w:rPr>
          <w:rFonts w:asciiTheme="minorHAnsi" w:hAnsiTheme="minorHAnsi" w:cstheme="minorHAnsi"/>
          <w:sz w:val="16"/>
          <w:szCs w:val="16"/>
        </w:rPr>
        <w:t xml:space="preserve">in the future </w:t>
      </w:r>
      <w:r w:rsidR="00E00CFB">
        <w:rPr>
          <w:rFonts w:asciiTheme="minorHAnsi" w:hAnsiTheme="minorHAnsi" w:cstheme="minorHAnsi"/>
          <w:sz w:val="16"/>
          <w:szCs w:val="16"/>
        </w:rPr>
        <w:t>due to continue</w:t>
      </w:r>
      <w:r w:rsidR="00590D01">
        <w:rPr>
          <w:rFonts w:asciiTheme="minorHAnsi" w:hAnsiTheme="minorHAnsi" w:cstheme="minorHAnsi"/>
          <w:sz w:val="16"/>
          <w:szCs w:val="16"/>
        </w:rPr>
        <w:t>d</w:t>
      </w:r>
      <w:r w:rsidR="00E00CFB">
        <w:rPr>
          <w:rFonts w:asciiTheme="minorHAnsi" w:hAnsiTheme="minorHAnsi" w:cstheme="minorHAnsi"/>
          <w:sz w:val="16"/>
          <w:szCs w:val="16"/>
        </w:rPr>
        <w:t xml:space="preserve"> use in the existing mode of transportation (i.e., road </w:t>
      </w:r>
      <w:r w:rsidR="00590D01">
        <w:rPr>
          <w:rFonts w:asciiTheme="minorHAnsi" w:hAnsiTheme="minorHAnsi" w:cstheme="minorHAnsi"/>
          <w:sz w:val="16"/>
          <w:szCs w:val="16"/>
        </w:rPr>
        <w:t xml:space="preserve">transportation) and </w:t>
      </w:r>
      <w:r w:rsidR="004D23BB">
        <w:rPr>
          <w:rFonts w:asciiTheme="minorHAnsi" w:hAnsiTheme="minorHAnsi" w:cstheme="minorHAnsi"/>
          <w:sz w:val="16"/>
          <w:szCs w:val="16"/>
        </w:rPr>
        <w:t>emerging</w:t>
      </w:r>
      <w:r w:rsidR="00CC32FB">
        <w:rPr>
          <w:rFonts w:asciiTheme="minorHAnsi" w:hAnsiTheme="minorHAnsi" w:cstheme="minorHAnsi"/>
          <w:sz w:val="16"/>
          <w:szCs w:val="16"/>
        </w:rPr>
        <w:t xml:space="preserve"> applications</w:t>
      </w:r>
      <w:r w:rsidR="00BC0CC6">
        <w:rPr>
          <w:rFonts w:asciiTheme="minorHAnsi" w:hAnsiTheme="minorHAnsi" w:cstheme="minorHAnsi"/>
          <w:sz w:val="16"/>
          <w:szCs w:val="16"/>
        </w:rPr>
        <w:t xml:space="preserve"> in the</w:t>
      </w:r>
      <w:r w:rsidR="00590D01">
        <w:rPr>
          <w:rFonts w:asciiTheme="minorHAnsi" w:hAnsiTheme="minorHAnsi" w:cstheme="minorHAnsi"/>
          <w:sz w:val="16"/>
          <w:szCs w:val="16"/>
        </w:rPr>
        <w:t xml:space="preserve"> </w:t>
      </w:r>
      <w:r w:rsidR="00CC32FB">
        <w:rPr>
          <w:rFonts w:asciiTheme="minorHAnsi" w:hAnsiTheme="minorHAnsi" w:cstheme="minorHAnsi"/>
          <w:sz w:val="16"/>
          <w:szCs w:val="16"/>
        </w:rPr>
        <w:t>aviation</w:t>
      </w:r>
      <w:r w:rsidR="004D23BB">
        <w:rPr>
          <w:rFonts w:asciiTheme="minorHAnsi" w:hAnsiTheme="minorHAnsi" w:cstheme="minorHAnsi"/>
          <w:sz w:val="16"/>
          <w:szCs w:val="16"/>
        </w:rPr>
        <w:t xml:space="preserve"> sector</w:t>
      </w:r>
      <w:r w:rsidR="001A2C82" w:rsidRPr="007467FA">
        <w:rPr>
          <w:rFonts w:asciiTheme="minorHAnsi" w:hAnsiTheme="minorHAnsi" w:cstheme="minorHAnsi"/>
          <w:sz w:val="16"/>
          <w:szCs w:val="16"/>
        </w:rPr>
        <w:t>.</w:t>
      </w:r>
    </w:p>
    <w:p w14:paraId="709B4C29" w14:textId="12B7A127" w:rsidR="00445BE2" w:rsidRDefault="000E03B4" w:rsidP="00445BE2">
      <w:pPr>
        <w:pStyle w:val="Heading3"/>
        <w:spacing w:before="74"/>
      </w:pPr>
      <w:r>
        <w:rPr>
          <w:color w:val="BF5A14"/>
        </w:rPr>
        <w:t>Figure 1: Trend of global production of bio</w:t>
      </w:r>
      <w:r w:rsidR="001A2C82">
        <w:rPr>
          <w:color w:val="BF5A14"/>
        </w:rPr>
        <w:t>fuels</w:t>
      </w:r>
      <w:r>
        <w:rPr>
          <w:color w:val="BF5A14"/>
        </w:rPr>
        <w:t xml:space="preserve"> </w:t>
      </w:r>
    </w:p>
    <w:p w14:paraId="709B4C2A" w14:textId="5735760D" w:rsidR="00445BE2" w:rsidRDefault="00EE6FEC" w:rsidP="00445BE2">
      <w:pPr>
        <w:pStyle w:val="BodyText"/>
        <w:spacing w:before="2"/>
        <w:rPr>
          <w:rFonts w:ascii="Arial"/>
          <w:b/>
          <w:sz w:val="16"/>
        </w:rPr>
      </w:pPr>
      <w:r>
        <w:rPr>
          <w:rFonts w:ascii="Arial"/>
          <w:b/>
          <w:noProof/>
          <w:sz w:val="16"/>
        </w:rPr>
        <w:drawing>
          <wp:inline distT="0" distB="0" distL="0" distR="0" wp14:anchorId="62587D77" wp14:editId="45A1ADB9">
            <wp:extent cx="3275965" cy="20637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4611" cy="2069197"/>
                    </a:xfrm>
                    <a:prstGeom prst="rect">
                      <a:avLst/>
                    </a:prstGeom>
                    <a:noFill/>
                  </pic:spPr>
                </pic:pic>
              </a:graphicData>
            </a:graphic>
          </wp:inline>
        </w:drawing>
      </w:r>
    </w:p>
    <w:p w14:paraId="699CFE64" w14:textId="77777777" w:rsidR="001A2C82" w:rsidRDefault="001A2C82" w:rsidP="001A2C82">
      <w:pPr>
        <w:pStyle w:val="BodyText"/>
        <w:spacing w:before="90" w:line="280" w:lineRule="auto"/>
        <w:ind w:left="100"/>
        <w:rPr>
          <w:rFonts w:ascii="Arial"/>
          <w:b/>
          <w:color w:val="BF5A14"/>
          <w:sz w:val="16"/>
          <w:szCs w:val="16"/>
        </w:rPr>
      </w:pPr>
      <w:r w:rsidRPr="001A2C82">
        <w:rPr>
          <w:rFonts w:ascii="Arial"/>
          <w:b/>
          <w:color w:val="BF5A14"/>
          <w:sz w:val="16"/>
          <w:szCs w:val="16"/>
        </w:rPr>
        <w:t>Source: Renewable Energy Network (REN21)</w:t>
      </w:r>
    </w:p>
    <w:p w14:paraId="788056F4" w14:textId="709DCF9A" w:rsidR="001E6960" w:rsidRPr="001A2C82" w:rsidRDefault="001A2C82" w:rsidP="001E6960">
      <w:pPr>
        <w:pStyle w:val="BodyText"/>
        <w:spacing w:before="90" w:line="280" w:lineRule="auto"/>
        <w:ind w:left="100"/>
        <w:jc w:val="both"/>
        <w:rPr>
          <w:sz w:val="16"/>
          <w:szCs w:val="16"/>
        </w:rPr>
      </w:pPr>
      <w:r w:rsidRPr="002A4BA9">
        <w:t>This presentation will present the evolution</w:t>
      </w:r>
      <w:r w:rsidR="00BC0CC6">
        <w:t xml:space="preserve"> of</w:t>
      </w:r>
      <w:r w:rsidRPr="002A4BA9">
        <w:t xml:space="preserve"> global </w:t>
      </w:r>
      <w:r>
        <w:t xml:space="preserve">biofuels </w:t>
      </w:r>
      <w:r w:rsidR="001E6960">
        <w:t xml:space="preserve">and bioenergy </w:t>
      </w:r>
      <w:r w:rsidR="00FD587E">
        <w:t xml:space="preserve">(biomass for heat and electricity production) </w:t>
      </w:r>
      <w:r>
        <w:t>market</w:t>
      </w:r>
      <w:r w:rsidR="001E6960">
        <w:t>s</w:t>
      </w:r>
      <w:r>
        <w:t xml:space="preserve">. It will discuss the drivers of </w:t>
      </w:r>
      <w:r w:rsidR="00BC0CC6">
        <w:t xml:space="preserve">the </w:t>
      </w:r>
      <w:r>
        <w:t>global growth of bi</w:t>
      </w:r>
      <w:r w:rsidR="00BC0CC6">
        <w:t>o</w:t>
      </w:r>
      <w:r>
        <w:t xml:space="preserve">fuels </w:t>
      </w:r>
      <w:r w:rsidR="001E6960">
        <w:t xml:space="preserve">and bioenergy </w:t>
      </w:r>
      <w:r>
        <w:t>production and key challenge faced by the market</w:t>
      </w:r>
      <w:r w:rsidR="001E6960">
        <w:t>s</w:t>
      </w:r>
      <w:r>
        <w:t xml:space="preserve"> around the world. It will then highlight policy instruments and market conditions </w:t>
      </w:r>
      <w:r w:rsidR="001E6960">
        <w:t>for</w:t>
      </w:r>
      <w:r>
        <w:t xml:space="preserve"> further </w:t>
      </w:r>
      <w:r w:rsidR="001E6960">
        <w:t xml:space="preserve">expansion of biofuels and bioenergy. </w:t>
      </w:r>
    </w:p>
    <w:p w14:paraId="709B4C2B" w14:textId="5487F356" w:rsidR="00445BE2" w:rsidRPr="001A2C82" w:rsidRDefault="00445BE2" w:rsidP="001A2C82">
      <w:pPr>
        <w:pStyle w:val="BodyText"/>
        <w:spacing w:before="90" w:line="280" w:lineRule="auto"/>
        <w:ind w:left="100"/>
        <w:rPr>
          <w:sz w:val="16"/>
          <w:szCs w:val="16"/>
        </w:rPr>
      </w:pPr>
    </w:p>
    <w:p w14:paraId="709B4C2C" w14:textId="77777777" w:rsidR="005973B9" w:rsidRDefault="00A9710C" w:rsidP="000E03B4">
      <w:pPr>
        <w:pStyle w:val="Heading3"/>
        <w:spacing w:before="74"/>
        <w:rPr>
          <w:b w:val="0"/>
        </w:rPr>
      </w:pPr>
      <w:r>
        <w:rPr>
          <w:b w:val="0"/>
        </w:rPr>
        <w:br w:type="column"/>
      </w:r>
      <w:r w:rsidR="005973B9">
        <w:rPr>
          <w:color w:val="BF5A14"/>
        </w:rPr>
        <w:t>Recent Publications (minimum 5)</w:t>
      </w:r>
    </w:p>
    <w:p w14:paraId="709B4C2D" w14:textId="77777777" w:rsidR="00A5444C" w:rsidRPr="007467FA" w:rsidRDefault="00A5444C" w:rsidP="00A5444C">
      <w:pPr>
        <w:pStyle w:val="ListParagraph"/>
        <w:numPr>
          <w:ilvl w:val="0"/>
          <w:numId w:val="3"/>
        </w:numPr>
        <w:rPr>
          <w:sz w:val="16"/>
          <w:szCs w:val="16"/>
        </w:rPr>
      </w:pPr>
      <w:r w:rsidRPr="007467FA">
        <w:rPr>
          <w:sz w:val="16"/>
          <w:szCs w:val="16"/>
        </w:rPr>
        <w:t xml:space="preserve">De Gorter H, Drabik D and Timilsina GR, (2016) Producing biodiesel from soybeans in Zambia: An economic analysis, Food Policy, Vol. 59, pp. 103–109, </w:t>
      </w:r>
    </w:p>
    <w:p w14:paraId="709B4C2E" w14:textId="77777777" w:rsidR="00EB4D56" w:rsidRPr="007467FA" w:rsidRDefault="00EB4D56" w:rsidP="00EB4D56">
      <w:pPr>
        <w:pStyle w:val="ListParagraph"/>
        <w:numPr>
          <w:ilvl w:val="0"/>
          <w:numId w:val="3"/>
        </w:numPr>
        <w:rPr>
          <w:sz w:val="16"/>
          <w:szCs w:val="16"/>
        </w:rPr>
      </w:pPr>
      <w:r w:rsidRPr="007467FA">
        <w:rPr>
          <w:sz w:val="16"/>
          <w:szCs w:val="16"/>
        </w:rPr>
        <w:t>Drabik D, De Gorter H, and Timilsina GR, (2014) The Effect of Biodiesel Policies on World Biodiesel and Oilseed Prices, Energy Economics, Volume 44, Pages 80-88.</w:t>
      </w:r>
    </w:p>
    <w:p w14:paraId="709B4C2F" w14:textId="77777777" w:rsidR="00A5444C" w:rsidRPr="007467FA" w:rsidRDefault="00A5444C" w:rsidP="00A5444C">
      <w:pPr>
        <w:pStyle w:val="ListParagraph"/>
        <w:numPr>
          <w:ilvl w:val="0"/>
          <w:numId w:val="3"/>
        </w:numPr>
        <w:rPr>
          <w:sz w:val="16"/>
          <w:szCs w:val="16"/>
        </w:rPr>
      </w:pPr>
      <w:r w:rsidRPr="007467FA">
        <w:rPr>
          <w:sz w:val="16"/>
          <w:szCs w:val="16"/>
        </w:rPr>
        <w:t xml:space="preserve">Timilsina GR (2013) Biofuels in the Long-run Global Energy Supply Mix for Transportation, Philosophical Transactions of the Royal Society A. pp. 372-392. </w:t>
      </w:r>
    </w:p>
    <w:p w14:paraId="709B4C30" w14:textId="77777777" w:rsidR="00EB4D56" w:rsidRPr="007467FA" w:rsidRDefault="00A5444C" w:rsidP="00A5444C">
      <w:pPr>
        <w:pStyle w:val="ListParagraph"/>
        <w:numPr>
          <w:ilvl w:val="0"/>
          <w:numId w:val="3"/>
        </w:numPr>
        <w:rPr>
          <w:sz w:val="16"/>
          <w:szCs w:val="16"/>
        </w:rPr>
      </w:pPr>
      <w:r w:rsidRPr="007467FA">
        <w:rPr>
          <w:sz w:val="16"/>
          <w:szCs w:val="16"/>
        </w:rPr>
        <w:t>Timilsina GR and Mevel S (2012) Biofuels and Climate Change Mitigation: A CGE Analysis Incorporating Land-Use Change, Environmental and Resource Economics, Vo. 55, pp: 1-19</w:t>
      </w:r>
      <w:r w:rsidR="00EB4D56" w:rsidRPr="007467FA">
        <w:rPr>
          <w:sz w:val="16"/>
          <w:szCs w:val="16"/>
        </w:rPr>
        <w:t>.</w:t>
      </w:r>
    </w:p>
    <w:p w14:paraId="709B4C31" w14:textId="77777777" w:rsidR="00A5444C" w:rsidRPr="007467FA" w:rsidRDefault="00A5444C" w:rsidP="00EB4D56">
      <w:pPr>
        <w:pStyle w:val="ListParagraph"/>
        <w:numPr>
          <w:ilvl w:val="0"/>
          <w:numId w:val="3"/>
        </w:numPr>
        <w:rPr>
          <w:sz w:val="16"/>
          <w:szCs w:val="16"/>
        </w:rPr>
      </w:pPr>
      <w:r w:rsidRPr="007467FA">
        <w:rPr>
          <w:sz w:val="16"/>
          <w:szCs w:val="16"/>
        </w:rPr>
        <w:t xml:space="preserve"> </w:t>
      </w:r>
      <w:r w:rsidR="00EB4D56" w:rsidRPr="007467FA">
        <w:rPr>
          <w:sz w:val="16"/>
          <w:szCs w:val="16"/>
        </w:rPr>
        <w:t xml:space="preserve">Zilberman D, Hochman G, </w:t>
      </w:r>
      <w:proofErr w:type="spellStart"/>
      <w:r w:rsidR="00EB4D56" w:rsidRPr="007467FA">
        <w:rPr>
          <w:sz w:val="16"/>
          <w:szCs w:val="16"/>
        </w:rPr>
        <w:t>Rajogopal</w:t>
      </w:r>
      <w:proofErr w:type="spellEnd"/>
      <w:r w:rsidR="00EB4D56" w:rsidRPr="007467FA">
        <w:rPr>
          <w:sz w:val="16"/>
          <w:szCs w:val="16"/>
        </w:rPr>
        <w:t xml:space="preserve"> D, Timilsina GR and Sexton S (2013) The Impact of Biofuels on Commodity Food Prices: Assessment of Findings, American Journal of Agriculture Economics, Vol. 95, No. 2, pp. 275-281.</w:t>
      </w:r>
    </w:p>
    <w:p w14:paraId="709B4C32" w14:textId="77777777" w:rsidR="00EB4D56" w:rsidRPr="007467FA" w:rsidRDefault="00EB4D56" w:rsidP="00EB4D56">
      <w:pPr>
        <w:pStyle w:val="ListParagraph"/>
        <w:numPr>
          <w:ilvl w:val="0"/>
          <w:numId w:val="3"/>
        </w:numPr>
        <w:rPr>
          <w:sz w:val="16"/>
          <w:szCs w:val="16"/>
        </w:rPr>
      </w:pPr>
      <w:r w:rsidRPr="007467FA">
        <w:rPr>
          <w:sz w:val="16"/>
          <w:szCs w:val="16"/>
        </w:rPr>
        <w:t xml:space="preserve">De Gorter H, Drabik D, Just DR and Timilsina GR (2015) The economics of Brazil’s </w:t>
      </w:r>
      <w:proofErr w:type="gramStart"/>
      <w:r w:rsidRPr="007467FA">
        <w:rPr>
          <w:sz w:val="16"/>
          <w:szCs w:val="16"/>
        </w:rPr>
        <w:t>ethanol</w:t>
      </w:r>
      <w:proofErr w:type="gramEnd"/>
      <w:r w:rsidRPr="007467FA">
        <w:rPr>
          <w:sz w:val="16"/>
          <w:szCs w:val="16"/>
        </w:rPr>
        <w:t>-Sugar markets, mandates, and tax exemptions, American Journal of Agricultural Economics, Vol. 97, No.5, pp. 1433-1450.</w:t>
      </w:r>
    </w:p>
    <w:p w14:paraId="709B4C33" w14:textId="77777777" w:rsidR="00EB4D56" w:rsidRPr="007467FA" w:rsidRDefault="00EB4D56" w:rsidP="00EB4D56">
      <w:pPr>
        <w:pStyle w:val="ListParagraph"/>
        <w:numPr>
          <w:ilvl w:val="0"/>
          <w:numId w:val="3"/>
        </w:numPr>
        <w:rPr>
          <w:sz w:val="16"/>
          <w:szCs w:val="16"/>
        </w:rPr>
      </w:pPr>
      <w:r w:rsidRPr="007467FA">
        <w:rPr>
          <w:sz w:val="16"/>
          <w:szCs w:val="16"/>
        </w:rPr>
        <w:t>Timilsina GR, Chisari OO and Romero</w:t>
      </w:r>
      <w:r w:rsidR="005D7FFB" w:rsidRPr="007467FA">
        <w:rPr>
          <w:sz w:val="16"/>
          <w:szCs w:val="16"/>
        </w:rPr>
        <w:t xml:space="preserve"> </w:t>
      </w:r>
      <w:r w:rsidRPr="007467FA">
        <w:rPr>
          <w:sz w:val="16"/>
          <w:szCs w:val="16"/>
        </w:rPr>
        <w:t>CA (2013). Economy-wide Impacts of Biofuels in Argentina, Ener</w:t>
      </w:r>
      <w:r w:rsidR="005D7FFB" w:rsidRPr="007467FA">
        <w:rPr>
          <w:sz w:val="16"/>
          <w:szCs w:val="16"/>
        </w:rPr>
        <w:t>gy Policy, Vol. 55, pp. 636-647</w:t>
      </w:r>
      <w:r w:rsidRPr="007467FA">
        <w:rPr>
          <w:sz w:val="16"/>
          <w:szCs w:val="16"/>
        </w:rPr>
        <w:t>.</w:t>
      </w:r>
    </w:p>
    <w:p w14:paraId="709B4C34" w14:textId="77777777" w:rsidR="0074598F" w:rsidRPr="007467FA" w:rsidRDefault="0074598F" w:rsidP="0074598F">
      <w:pPr>
        <w:pStyle w:val="ListParagraph"/>
        <w:numPr>
          <w:ilvl w:val="0"/>
          <w:numId w:val="3"/>
        </w:numPr>
        <w:rPr>
          <w:sz w:val="16"/>
          <w:szCs w:val="16"/>
        </w:rPr>
      </w:pPr>
      <w:r w:rsidRPr="007467FA">
        <w:rPr>
          <w:sz w:val="16"/>
          <w:szCs w:val="16"/>
        </w:rPr>
        <w:t>Chang S, Zhao L, Zhang X and Timilsina GR (2012) Biofuels Development in China: Technology Options and Policies Needed to Meet the 2020 Target, Energy Policy, Vol. 51, pp. 64-79.</w:t>
      </w:r>
    </w:p>
    <w:p w14:paraId="709B4C35" w14:textId="77777777" w:rsidR="009A3F59" w:rsidRPr="007467FA" w:rsidRDefault="009A3F59" w:rsidP="009A3F59">
      <w:pPr>
        <w:pStyle w:val="ListParagraph"/>
        <w:numPr>
          <w:ilvl w:val="0"/>
          <w:numId w:val="3"/>
        </w:numPr>
        <w:rPr>
          <w:sz w:val="16"/>
          <w:szCs w:val="16"/>
        </w:rPr>
      </w:pPr>
      <w:r w:rsidRPr="007467FA">
        <w:rPr>
          <w:sz w:val="16"/>
          <w:szCs w:val="16"/>
        </w:rPr>
        <w:t>Poudel, BN, Timilsina, GR and Zilberman, D (2012). Providing Numbers for a Food versus Fuel Debate: An Analysis of a Future Biofuel Production Scenario, Applied Economic Perspectives and Policy Vol. 34, No. 4, pp. 637–668.</w:t>
      </w:r>
    </w:p>
    <w:p w14:paraId="709B4C36" w14:textId="77777777" w:rsidR="0091199B" w:rsidRPr="007467FA" w:rsidRDefault="0091199B" w:rsidP="0091199B">
      <w:pPr>
        <w:pStyle w:val="ListParagraph"/>
        <w:numPr>
          <w:ilvl w:val="0"/>
          <w:numId w:val="3"/>
        </w:numPr>
        <w:rPr>
          <w:sz w:val="16"/>
          <w:szCs w:val="16"/>
        </w:rPr>
      </w:pPr>
      <w:r w:rsidRPr="007467FA">
        <w:rPr>
          <w:sz w:val="16"/>
          <w:szCs w:val="16"/>
        </w:rPr>
        <w:t xml:space="preserve">Timilsina GR (2012). Biofuels: the food versus fuel debate, CAB Reviews, Vol. 7, No. 036, pp. 1-8. </w:t>
      </w:r>
    </w:p>
    <w:p w14:paraId="709B4C37" w14:textId="77777777" w:rsidR="0091199B" w:rsidRPr="007467FA" w:rsidRDefault="0091199B" w:rsidP="0091199B">
      <w:pPr>
        <w:pStyle w:val="ListParagraph"/>
        <w:numPr>
          <w:ilvl w:val="0"/>
          <w:numId w:val="3"/>
        </w:numPr>
        <w:rPr>
          <w:sz w:val="16"/>
          <w:szCs w:val="16"/>
        </w:rPr>
      </w:pPr>
      <w:r w:rsidRPr="007467FA">
        <w:rPr>
          <w:sz w:val="16"/>
          <w:szCs w:val="16"/>
        </w:rPr>
        <w:t>Timilsina GR (2013). How Will the EU’s Cap on Crop-based Biofuels Impact the Future of Biofuels? Biofuels, Vol. 4, No. 2, pp. 139-141.</w:t>
      </w:r>
    </w:p>
    <w:p w14:paraId="709B4C38" w14:textId="77777777" w:rsidR="0091199B" w:rsidRPr="007467FA" w:rsidRDefault="0091199B" w:rsidP="0091199B">
      <w:pPr>
        <w:pStyle w:val="ListParagraph"/>
        <w:numPr>
          <w:ilvl w:val="0"/>
          <w:numId w:val="3"/>
        </w:numPr>
        <w:rPr>
          <w:sz w:val="16"/>
          <w:szCs w:val="16"/>
        </w:rPr>
      </w:pPr>
      <w:r w:rsidRPr="007467FA">
        <w:rPr>
          <w:sz w:val="16"/>
          <w:szCs w:val="16"/>
        </w:rPr>
        <w:t>Timilsina GR, Beghin J, van der Mensbrugghe D and Mevel S (2012). The Impacts of Biofuel Targets on Land-Use Change and Food Supply: A Global CGE Assessment, Agriculture Economics, Vol. 43, pp. 313-330.</w:t>
      </w:r>
    </w:p>
    <w:p w14:paraId="709B4C39" w14:textId="77777777" w:rsidR="0091199B" w:rsidRPr="007467FA" w:rsidRDefault="0091199B" w:rsidP="0091199B">
      <w:pPr>
        <w:pStyle w:val="ListParagraph"/>
        <w:numPr>
          <w:ilvl w:val="0"/>
          <w:numId w:val="3"/>
        </w:numPr>
        <w:rPr>
          <w:sz w:val="16"/>
          <w:szCs w:val="16"/>
        </w:rPr>
      </w:pPr>
      <w:r w:rsidRPr="007467FA">
        <w:rPr>
          <w:sz w:val="16"/>
          <w:szCs w:val="16"/>
        </w:rPr>
        <w:t xml:space="preserve">Timilsina GR, Mevel S and Shrestha A (2011). Oil price, biofuels and food supply, Energy Policy, Vol. 39, No. 12, pp. 8098-8105. </w:t>
      </w:r>
    </w:p>
    <w:p w14:paraId="709B4C3A" w14:textId="77777777" w:rsidR="001F445F" w:rsidRPr="007467FA" w:rsidRDefault="001F445F" w:rsidP="001F445F">
      <w:pPr>
        <w:pStyle w:val="ListParagraph"/>
        <w:numPr>
          <w:ilvl w:val="0"/>
          <w:numId w:val="3"/>
        </w:numPr>
        <w:rPr>
          <w:sz w:val="16"/>
          <w:szCs w:val="16"/>
        </w:rPr>
      </w:pPr>
      <w:r w:rsidRPr="007467FA">
        <w:rPr>
          <w:sz w:val="16"/>
          <w:szCs w:val="16"/>
        </w:rPr>
        <w:t xml:space="preserve">Timilsina GR, </w:t>
      </w:r>
      <w:proofErr w:type="spellStart"/>
      <w:r w:rsidRPr="007467FA">
        <w:rPr>
          <w:sz w:val="16"/>
          <w:szCs w:val="16"/>
        </w:rPr>
        <w:t>Csordás</w:t>
      </w:r>
      <w:proofErr w:type="spellEnd"/>
      <w:r w:rsidRPr="007467FA">
        <w:rPr>
          <w:sz w:val="16"/>
          <w:szCs w:val="16"/>
        </w:rPr>
        <w:t xml:space="preserve"> S and Mevel S (2011). When Does a Carbon Tax on Fossil Fuels Stimulate Biofuels? Ecological Economics, Vol. 70, No. 12, pp. 2400-2415.</w:t>
      </w:r>
    </w:p>
    <w:p w14:paraId="709B4C3B" w14:textId="77777777" w:rsidR="001F445F" w:rsidRPr="007467FA" w:rsidRDefault="001F445F" w:rsidP="001F445F">
      <w:pPr>
        <w:pStyle w:val="ListParagraph"/>
        <w:numPr>
          <w:ilvl w:val="0"/>
          <w:numId w:val="3"/>
        </w:numPr>
        <w:rPr>
          <w:sz w:val="16"/>
          <w:szCs w:val="16"/>
        </w:rPr>
      </w:pPr>
      <w:proofErr w:type="spellStart"/>
      <w:r w:rsidRPr="007467FA">
        <w:rPr>
          <w:sz w:val="16"/>
          <w:szCs w:val="16"/>
        </w:rPr>
        <w:t>Carriquiry</w:t>
      </w:r>
      <w:proofErr w:type="spellEnd"/>
      <w:r w:rsidRPr="007467FA">
        <w:rPr>
          <w:sz w:val="16"/>
          <w:szCs w:val="16"/>
        </w:rPr>
        <w:t xml:space="preserve"> MA, Du X and Timilsina GR (2011). Second Generation Biofuels: Economics and Policies, Energy Policy, Vol. 39, No. 7, pp. 4222-4234.</w:t>
      </w:r>
    </w:p>
    <w:p w14:paraId="709B4C3C" w14:textId="77777777" w:rsidR="001F445F" w:rsidRPr="007467FA" w:rsidRDefault="001F445F" w:rsidP="001F445F">
      <w:pPr>
        <w:pStyle w:val="ListParagraph"/>
        <w:numPr>
          <w:ilvl w:val="0"/>
          <w:numId w:val="3"/>
        </w:numPr>
        <w:rPr>
          <w:sz w:val="16"/>
          <w:szCs w:val="16"/>
        </w:rPr>
      </w:pPr>
      <w:r w:rsidRPr="007467FA">
        <w:rPr>
          <w:sz w:val="16"/>
          <w:szCs w:val="16"/>
        </w:rPr>
        <w:t>Cheng JJ and Timilsina GR (2011). Status and Barriers of Advanced Biofuel Technologies: A Review, Renewable Energy, Vol. 36, No. 12, pp. 3541-3549.</w:t>
      </w:r>
    </w:p>
    <w:p w14:paraId="709B4C3D" w14:textId="77777777" w:rsidR="001F445F" w:rsidRPr="007467FA" w:rsidRDefault="001F445F" w:rsidP="007B41DA">
      <w:pPr>
        <w:pStyle w:val="ListParagraph"/>
        <w:numPr>
          <w:ilvl w:val="0"/>
          <w:numId w:val="3"/>
        </w:numPr>
        <w:rPr>
          <w:sz w:val="16"/>
          <w:szCs w:val="16"/>
        </w:rPr>
      </w:pPr>
      <w:r w:rsidRPr="007467FA">
        <w:rPr>
          <w:sz w:val="16"/>
          <w:szCs w:val="16"/>
        </w:rPr>
        <w:t xml:space="preserve">Timilsina GR and Shrestha A (2011). How much hope should we have for </w:t>
      </w:r>
      <w:proofErr w:type="gramStart"/>
      <w:r w:rsidRPr="007467FA">
        <w:rPr>
          <w:sz w:val="16"/>
          <w:szCs w:val="16"/>
        </w:rPr>
        <w:t>biofuels?,</w:t>
      </w:r>
      <w:proofErr w:type="gramEnd"/>
      <w:r w:rsidRPr="007467FA">
        <w:rPr>
          <w:sz w:val="16"/>
          <w:szCs w:val="16"/>
        </w:rPr>
        <w:t xml:space="preserve"> Energy, Vol. 36, pp. 2055-2069.</w:t>
      </w:r>
    </w:p>
    <w:p w14:paraId="709B4C3E" w14:textId="77777777" w:rsidR="00EB4D56" w:rsidRPr="007467FA" w:rsidRDefault="00EB4D56" w:rsidP="001F445F">
      <w:pPr>
        <w:pStyle w:val="ListParagraph"/>
        <w:ind w:firstLine="0"/>
        <w:rPr>
          <w:sz w:val="16"/>
          <w:szCs w:val="16"/>
        </w:rPr>
      </w:pPr>
    </w:p>
    <w:p w14:paraId="709B4C3F" w14:textId="77777777" w:rsidR="00EB4D56" w:rsidRPr="00F26519" w:rsidRDefault="00EB4D56" w:rsidP="00EB4D56">
      <w:pPr>
        <w:pStyle w:val="ListParagraph"/>
        <w:ind w:firstLine="0"/>
        <w:rPr>
          <w:sz w:val="18"/>
        </w:rPr>
      </w:pPr>
    </w:p>
    <w:p w14:paraId="709B4C4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09B4C41" w14:textId="77777777" w:rsidR="00AE3E37" w:rsidRDefault="00AE3E37">
      <w:pPr>
        <w:pStyle w:val="BodyText"/>
        <w:rPr>
          <w:rFonts w:ascii="Calibri"/>
          <w:sz w:val="20"/>
        </w:rPr>
      </w:pPr>
    </w:p>
    <w:p w14:paraId="709B4C4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09B4C50" wp14:editId="709B4C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2123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bookmarkStart w:id="0" w:name="_GoBack"/>
      <w:bookmarkEnd w:id="0"/>
    </w:p>
    <w:p w14:paraId="709B4C43" w14:textId="04CD6CE0" w:rsidR="00AE3E37" w:rsidRDefault="008756E6" w:rsidP="00404E5B">
      <w:pPr>
        <w:spacing w:before="92"/>
        <w:ind w:right="4234"/>
        <w:rPr>
          <w:rFonts w:ascii="Arial"/>
        </w:rPr>
      </w:pPr>
      <w:r>
        <w:rPr>
          <w:noProof/>
        </w:rPr>
        <w:lastRenderedPageBreak/>
        <w:t xml:space="preserve">              </w:t>
      </w:r>
      <w:r w:rsidR="00A5444C" w:rsidRPr="008A5982">
        <w:rPr>
          <w:rFonts w:ascii="Times New Roman" w:hAnsi="Times New Roman"/>
          <w:noProof/>
        </w:rPr>
        <w:drawing>
          <wp:inline distT="0" distB="0" distL="0" distR="0" wp14:anchorId="709B4C52" wp14:editId="709B4C53">
            <wp:extent cx="1071245" cy="1209675"/>
            <wp:effectExtent l="0" t="0" r="0" b="9525"/>
            <wp:docPr id="2" name="Picture 2" descr="C:\Projects\Personal\Timilsi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s\Personal\Timilsin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3212" cy="121189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09B4C44" w14:textId="69DD5937" w:rsidR="00A5444C" w:rsidRDefault="00A5444C" w:rsidP="00A5444C">
      <w:pPr>
        <w:spacing w:before="41" w:line="154" w:lineRule="exact"/>
        <w:ind w:left="213" w:right="231"/>
        <w:jc w:val="both"/>
        <w:rPr>
          <w:rFonts w:ascii="Arial"/>
          <w:sz w:val="14"/>
        </w:rPr>
      </w:pPr>
      <w:r w:rsidRPr="001007EB">
        <w:rPr>
          <w:rFonts w:ascii="Arial"/>
          <w:sz w:val="14"/>
        </w:rPr>
        <w:t>Dr. Timilsina is a Senior Research Economist at the Development Research Group of the World Bank, Washington, DC.  He has more than 20 years</w:t>
      </w:r>
      <w:r w:rsidRPr="001007EB">
        <w:rPr>
          <w:rFonts w:ascii="Arial"/>
          <w:sz w:val="14"/>
        </w:rPr>
        <w:t>’</w:t>
      </w:r>
      <w:r w:rsidRPr="001007EB">
        <w:rPr>
          <w:rFonts w:ascii="Arial"/>
          <w:sz w:val="14"/>
        </w:rPr>
        <w:t xml:space="preserve"> experience across a board range of energy and climate change economics and policies at the international level. His key expertise includes biofuels, climate change policies, electricity economics and energy sector as well as general equilibrium modeling for policy analysis. Prior to joining the Bank, Dr. Timilsina was a Senior Research Director at the Canadian Energy Research Institute, Calgary, Canada. At present, he is leading </w:t>
      </w:r>
      <w:proofErr w:type="gramStart"/>
      <w:r w:rsidRPr="001007EB">
        <w:rPr>
          <w:rFonts w:ascii="Arial"/>
          <w:sz w:val="14"/>
        </w:rPr>
        <w:t>a number of</w:t>
      </w:r>
      <w:proofErr w:type="gramEnd"/>
      <w:r w:rsidRPr="001007EB">
        <w:rPr>
          <w:rFonts w:ascii="Arial"/>
          <w:sz w:val="14"/>
        </w:rPr>
        <w:t xml:space="preserve"> studies including </w:t>
      </w:r>
      <w:r w:rsidR="00A22E4D">
        <w:rPr>
          <w:rFonts w:ascii="Arial"/>
          <w:sz w:val="14"/>
        </w:rPr>
        <w:t xml:space="preserve">the </w:t>
      </w:r>
      <w:r w:rsidRPr="001007EB">
        <w:rPr>
          <w:rFonts w:ascii="Arial"/>
          <w:sz w:val="14"/>
        </w:rPr>
        <w:t xml:space="preserve">economics of renewable energy including biofuels, </w:t>
      </w:r>
      <w:r w:rsidR="00A22E4D">
        <w:rPr>
          <w:rFonts w:ascii="Arial"/>
          <w:sz w:val="14"/>
        </w:rPr>
        <w:t>carbon pricing</w:t>
      </w:r>
      <w:r w:rsidRPr="001007EB">
        <w:rPr>
          <w:rFonts w:ascii="Arial"/>
          <w:sz w:val="14"/>
        </w:rPr>
        <w:t xml:space="preserve">, </w:t>
      </w:r>
      <w:r w:rsidR="00091FC8">
        <w:rPr>
          <w:rFonts w:ascii="Arial"/>
          <w:sz w:val="14"/>
        </w:rPr>
        <w:t>and infrastructure and economic growth.</w:t>
      </w:r>
    </w:p>
    <w:p w14:paraId="709B4C45" w14:textId="77777777" w:rsidR="00A5444C" w:rsidRPr="00110FEB" w:rsidRDefault="00A5444C" w:rsidP="00A5444C">
      <w:pPr>
        <w:spacing w:before="62"/>
        <w:ind w:left="4217" w:right="4235"/>
        <w:jc w:val="center"/>
        <w:rPr>
          <w:rStyle w:val="Hyperlink"/>
          <w:rFonts w:ascii="Arial"/>
          <w:sz w:val="14"/>
        </w:rPr>
      </w:pPr>
      <w:r w:rsidRPr="00110FEB">
        <w:rPr>
          <w:rFonts w:ascii="Arial"/>
          <w:sz w:val="14"/>
        </w:rPr>
        <w:t xml:space="preserve">Email: </w:t>
      </w:r>
      <w:hyperlink r:id="rId11" w:history="1">
        <w:r w:rsidRPr="000E2B4E">
          <w:rPr>
            <w:rStyle w:val="Hyperlink"/>
            <w:rFonts w:ascii="Arial"/>
            <w:sz w:val="14"/>
          </w:rPr>
          <w:t>gtimilsina@worldbank.org</w:t>
        </w:r>
      </w:hyperlink>
    </w:p>
    <w:p w14:paraId="709B4C46" w14:textId="77777777" w:rsidR="00A5444C" w:rsidRPr="00110FEB" w:rsidRDefault="00A5444C" w:rsidP="00A5444C">
      <w:pPr>
        <w:spacing w:before="62"/>
        <w:ind w:left="4217" w:right="4235"/>
        <w:jc w:val="center"/>
        <w:rPr>
          <w:rFonts w:ascii="Arial"/>
          <w:sz w:val="14"/>
        </w:rPr>
      </w:pPr>
      <w:r w:rsidRPr="00110FEB">
        <w:rPr>
          <w:rStyle w:val="Hyperlink"/>
          <w:rFonts w:ascii="Arial"/>
          <w:color w:val="auto"/>
          <w:sz w:val="14"/>
          <w:u w:val="none"/>
        </w:rPr>
        <w:t>Contact N</w:t>
      </w:r>
      <w:r>
        <w:rPr>
          <w:rStyle w:val="Hyperlink"/>
          <w:rFonts w:ascii="Arial"/>
          <w:color w:val="auto"/>
          <w:sz w:val="14"/>
          <w:u w:val="none"/>
        </w:rPr>
        <w:t>umber</w:t>
      </w:r>
      <w:r w:rsidRPr="00110FEB">
        <w:rPr>
          <w:rStyle w:val="Hyperlink"/>
          <w:rFonts w:ascii="Arial"/>
          <w:color w:val="auto"/>
          <w:sz w:val="14"/>
          <w:u w:val="none"/>
        </w:rPr>
        <w:t xml:space="preserve">: </w:t>
      </w:r>
      <w:r>
        <w:rPr>
          <w:rStyle w:val="Hyperlink"/>
          <w:rFonts w:ascii="Arial"/>
          <w:color w:val="auto"/>
          <w:sz w:val="14"/>
          <w:u w:val="none"/>
        </w:rPr>
        <w:t xml:space="preserve">+1 </w:t>
      </w:r>
      <w:r>
        <w:rPr>
          <w:rStyle w:val="Hyperlink"/>
          <w:rFonts w:ascii="Arial"/>
          <w:sz w:val="14"/>
          <w:u w:val="none"/>
        </w:rPr>
        <w:t>202-473-2767</w:t>
      </w:r>
    </w:p>
    <w:p w14:paraId="709B4C4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09B4C54" wp14:editId="709B4C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5BB7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09B4C48" w14:textId="77777777" w:rsidR="00AE3E37" w:rsidRDefault="00AE3E37">
      <w:pPr>
        <w:pStyle w:val="BodyText"/>
        <w:rPr>
          <w:rFonts w:ascii="Arial"/>
          <w:sz w:val="20"/>
        </w:rPr>
      </w:pPr>
    </w:p>
    <w:p w14:paraId="709B4C49" w14:textId="77777777" w:rsidR="00AE3E37" w:rsidRDefault="00AE3E37">
      <w:pPr>
        <w:pStyle w:val="BodyText"/>
        <w:rPr>
          <w:rFonts w:ascii="Arial"/>
          <w:sz w:val="20"/>
        </w:rPr>
      </w:pPr>
    </w:p>
    <w:p w14:paraId="709B4C4A" w14:textId="77777777" w:rsidR="00AE3E37" w:rsidRDefault="00AE3E37">
      <w:pPr>
        <w:pStyle w:val="BodyText"/>
        <w:spacing w:before="7"/>
        <w:rPr>
          <w:rFonts w:ascii="Arial"/>
          <w:sz w:val="29"/>
        </w:rPr>
      </w:pPr>
    </w:p>
    <w:p w14:paraId="709B4C4B" w14:textId="77777777" w:rsidR="00AE3E37" w:rsidRPr="00B21A57" w:rsidRDefault="00A9710C">
      <w:pPr>
        <w:spacing w:before="39"/>
        <w:ind w:left="100"/>
        <w:rPr>
          <w:rFonts w:ascii="Minion Pro"/>
          <w:b/>
          <w:sz w:val="20"/>
        </w:rPr>
      </w:pPr>
      <w:r w:rsidRPr="00B21A57">
        <w:rPr>
          <w:rFonts w:ascii="Minion Pro"/>
          <w:b/>
          <w:sz w:val="20"/>
        </w:rPr>
        <w:t>Notes/Comments:</w:t>
      </w:r>
    </w:p>
    <w:p w14:paraId="709B4C4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09B4C4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1AD51" w14:textId="77777777" w:rsidR="004935F0" w:rsidRDefault="004935F0">
      <w:r>
        <w:separator/>
      </w:r>
    </w:p>
  </w:endnote>
  <w:endnote w:type="continuationSeparator" w:id="0">
    <w:p w14:paraId="70E74524" w14:textId="77777777" w:rsidR="004935F0" w:rsidRDefault="0049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B4C5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09B4C60" wp14:editId="709B4C6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4C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B4C6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B4C6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09B4C6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B4C6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09B4C62" wp14:editId="709B4C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4C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9B4C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B4C6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09B4C6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9B4C6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09B4C64" wp14:editId="709B4C6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4C6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9B4C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B4C6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09B4C6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9B4C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A612D" w14:textId="77777777" w:rsidR="004935F0" w:rsidRDefault="004935F0">
      <w:r>
        <w:separator/>
      </w:r>
    </w:p>
  </w:footnote>
  <w:footnote w:type="continuationSeparator" w:id="0">
    <w:p w14:paraId="4BB4B011" w14:textId="77777777" w:rsidR="004935F0" w:rsidRDefault="00493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B4C5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09B4C5C" wp14:editId="709B4C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4C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B4C5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09B4C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09B4C5E" wp14:editId="709B4C5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4C6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9B4C6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B4C5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09B4C6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9B4C6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KwsDAxMbG0NDQ3M7FU0lEKTi0uzszPAykwrgUAA2NY+SwAAAA="/>
  </w:docVars>
  <w:rsids>
    <w:rsidRoot w:val="00AE3E37"/>
    <w:rsid w:val="000268AE"/>
    <w:rsid w:val="0006603B"/>
    <w:rsid w:val="00091FC8"/>
    <w:rsid w:val="000E03B4"/>
    <w:rsid w:val="000E2911"/>
    <w:rsid w:val="00103AE1"/>
    <w:rsid w:val="00110FEB"/>
    <w:rsid w:val="00121C14"/>
    <w:rsid w:val="001263DF"/>
    <w:rsid w:val="00192B7D"/>
    <w:rsid w:val="001A2C82"/>
    <w:rsid w:val="001B6744"/>
    <w:rsid w:val="001E6960"/>
    <w:rsid w:val="001F445F"/>
    <w:rsid w:val="00227280"/>
    <w:rsid w:val="0024052D"/>
    <w:rsid w:val="00243246"/>
    <w:rsid w:val="00292ED9"/>
    <w:rsid w:val="002A4BA9"/>
    <w:rsid w:val="00397C8D"/>
    <w:rsid w:val="003B269E"/>
    <w:rsid w:val="00402755"/>
    <w:rsid w:val="00404E5B"/>
    <w:rsid w:val="00414F7B"/>
    <w:rsid w:val="00430788"/>
    <w:rsid w:val="004355DC"/>
    <w:rsid w:val="00443ABC"/>
    <w:rsid w:val="00445BE2"/>
    <w:rsid w:val="004749B4"/>
    <w:rsid w:val="00481F61"/>
    <w:rsid w:val="00491DF8"/>
    <w:rsid w:val="004935F0"/>
    <w:rsid w:val="00494130"/>
    <w:rsid w:val="004B1964"/>
    <w:rsid w:val="004D23BB"/>
    <w:rsid w:val="004F3523"/>
    <w:rsid w:val="00582AA8"/>
    <w:rsid w:val="00590D01"/>
    <w:rsid w:val="005973B9"/>
    <w:rsid w:val="005B3A56"/>
    <w:rsid w:val="005D7FFB"/>
    <w:rsid w:val="006060CE"/>
    <w:rsid w:val="00616970"/>
    <w:rsid w:val="0063497F"/>
    <w:rsid w:val="006909DF"/>
    <w:rsid w:val="007225D7"/>
    <w:rsid w:val="00725C7B"/>
    <w:rsid w:val="0074598F"/>
    <w:rsid w:val="007467FA"/>
    <w:rsid w:val="007730DE"/>
    <w:rsid w:val="0078524F"/>
    <w:rsid w:val="00786EE1"/>
    <w:rsid w:val="00791516"/>
    <w:rsid w:val="00792D00"/>
    <w:rsid w:val="007978E3"/>
    <w:rsid w:val="007D6779"/>
    <w:rsid w:val="007E616D"/>
    <w:rsid w:val="008009B8"/>
    <w:rsid w:val="00873DF0"/>
    <w:rsid w:val="008756E6"/>
    <w:rsid w:val="008E70AD"/>
    <w:rsid w:val="0091199B"/>
    <w:rsid w:val="00943BE5"/>
    <w:rsid w:val="0096219C"/>
    <w:rsid w:val="009A3F59"/>
    <w:rsid w:val="009B1C30"/>
    <w:rsid w:val="009B2D44"/>
    <w:rsid w:val="009F13AB"/>
    <w:rsid w:val="00A07E82"/>
    <w:rsid w:val="00A22E4D"/>
    <w:rsid w:val="00A462E9"/>
    <w:rsid w:val="00A5444C"/>
    <w:rsid w:val="00A9710C"/>
    <w:rsid w:val="00AE3E37"/>
    <w:rsid w:val="00AF0F4D"/>
    <w:rsid w:val="00B21A57"/>
    <w:rsid w:val="00B27312"/>
    <w:rsid w:val="00BB31C4"/>
    <w:rsid w:val="00BC0CC6"/>
    <w:rsid w:val="00BC3145"/>
    <w:rsid w:val="00C21D02"/>
    <w:rsid w:val="00C33602"/>
    <w:rsid w:val="00C860E1"/>
    <w:rsid w:val="00C91338"/>
    <w:rsid w:val="00CC32FB"/>
    <w:rsid w:val="00CD6F55"/>
    <w:rsid w:val="00CF0784"/>
    <w:rsid w:val="00D11277"/>
    <w:rsid w:val="00DE14B8"/>
    <w:rsid w:val="00DE1A24"/>
    <w:rsid w:val="00DE3104"/>
    <w:rsid w:val="00E00CFB"/>
    <w:rsid w:val="00E205E3"/>
    <w:rsid w:val="00E626E7"/>
    <w:rsid w:val="00E90187"/>
    <w:rsid w:val="00EA48A2"/>
    <w:rsid w:val="00EB4D56"/>
    <w:rsid w:val="00EE6FEC"/>
    <w:rsid w:val="00F107EC"/>
    <w:rsid w:val="00F2622F"/>
    <w:rsid w:val="00F70AE5"/>
    <w:rsid w:val="00F72EEA"/>
    <w:rsid w:val="00F84CAE"/>
    <w:rsid w:val="00FD58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B4C1E"/>
  <w15:docId w15:val="{359691F1-B4C4-4FA0-8F5A-4115F63E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timilsina@worldbank.org"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Govinda R. Timilsina</cp:lastModifiedBy>
  <cp:revision>49</cp:revision>
  <dcterms:created xsi:type="dcterms:W3CDTF">2020-01-07T16:35:00Z</dcterms:created>
  <dcterms:modified xsi:type="dcterms:W3CDTF">2020-01-07T20:08:00Z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