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5160" w:rsidRDefault="001F5160" w:rsidP="00494130">
      <w:pPr>
        <w:pStyle w:val="Heading1"/>
        <w:spacing w:before="170"/>
        <w:ind w:left="0"/>
      </w:pPr>
      <w:r>
        <w:rPr>
          <w:color w:val="337AB7"/>
        </w:rPr>
        <w:t>Using biogas and orga-slurry improves household fuel and food security in a crop-livestock farming system, Ethiopian highlands</w:t>
      </w:r>
    </w:p>
    <w:p w:rsidR="001F5160" w:rsidRPr="00FF0F93" w:rsidRDefault="001F5160" w:rsidP="00240957">
      <w:pPr>
        <w:pStyle w:val="BodyText"/>
        <w:spacing w:before="73" w:line="198" w:lineRule="exact"/>
        <w:ind w:left="100" w:right="5740"/>
      </w:pPr>
      <w:r w:rsidRPr="00FF0F93">
        <w:t>Gebreyohannes Girmay, PhD, Mekelle University, Ethiopia</w:t>
      </w:r>
    </w:p>
    <w:p w:rsidR="001F5160" w:rsidRDefault="001F5160" w:rsidP="00CC4229">
      <w:pPr>
        <w:pStyle w:val="BodyText"/>
        <w:spacing w:before="73" w:line="198" w:lineRule="exact"/>
        <w:ind w:left="100" w:right="5987"/>
      </w:pPr>
      <w:r w:rsidRPr="00FF0F93">
        <w:t>Kasahun Gebremichael, Relief Society of Tigray, Ethiopia</w:t>
      </w:r>
    </w:p>
    <w:p w:rsidR="001F5160" w:rsidRPr="00FF0F93" w:rsidRDefault="001F5160" w:rsidP="00CC4229">
      <w:pPr>
        <w:pStyle w:val="BodyText"/>
        <w:spacing w:before="73" w:line="198" w:lineRule="exact"/>
        <w:ind w:left="100" w:right="5987"/>
        <w:sectPr w:rsidR="001F5160" w:rsidRPr="00FF0F93">
          <w:headerReference w:type="default" r:id="rId7"/>
          <w:footerReference w:type="default" r:id="rId8"/>
          <w:type w:val="continuous"/>
          <w:pgSz w:w="11910" w:h="16840"/>
          <w:pgMar w:top="1740" w:right="600" w:bottom="840" w:left="620" w:header="541" w:footer="642" w:gutter="0"/>
          <w:cols w:space="720"/>
        </w:sectPr>
      </w:pPr>
      <w:r>
        <w:t>Zenebe Gebreegziabher, PhD, Mekelle University, Ethiopia</w:t>
      </w:r>
    </w:p>
    <w:p w:rsidR="001F5160" w:rsidRDefault="001F5160" w:rsidP="00CC4229">
      <w:pPr>
        <w:pStyle w:val="Heading3"/>
        <w:spacing w:before="120" w:after="120"/>
        <w:ind w:left="115"/>
        <w:jc w:val="both"/>
      </w:pPr>
      <w:r>
        <w:rPr>
          <w:color w:val="BF5A14"/>
        </w:rPr>
        <w:t>Abstract</w:t>
      </w:r>
    </w:p>
    <w:p w:rsidR="001F5160" w:rsidRPr="00FF0F93" w:rsidRDefault="001F5160" w:rsidP="00CC4229">
      <w:pPr>
        <w:ind w:left="110" w:right="44"/>
        <w:jc w:val="both"/>
        <w:rPr>
          <w:sz w:val="18"/>
          <w:szCs w:val="18"/>
        </w:rPr>
      </w:pPr>
      <w:r w:rsidRPr="00FF0F93">
        <w:rPr>
          <w:sz w:val="18"/>
          <w:szCs w:val="18"/>
        </w:rPr>
        <w:t xml:space="preserve">Biogas technology was introduced to Ethiopia some fifty years ago. However, benefits expected from the technology are not yet fully explored. In this study, we evaluate the impact of biogas technology on improving food and energy security of rural households in Tigray, northern Ethiopia. An experiment was carried out on the effects of applying different levels of bio-slurry on wheat and </w:t>
      </w:r>
      <w:r w:rsidRPr="00FF0F93">
        <w:rPr>
          <w:i/>
          <w:iCs/>
          <w:sz w:val="18"/>
          <w:szCs w:val="18"/>
        </w:rPr>
        <w:t xml:space="preserve">tef </w:t>
      </w:r>
      <w:r w:rsidRPr="00FF0F93">
        <w:rPr>
          <w:sz w:val="18"/>
          <w:szCs w:val="18"/>
        </w:rPr>
        <w:t xml:space="preserve">yield. Besides, socioeconomic data were collected from 60 rural households in two local areas. Findings indicate that application of bio-slurry fertilizer (i.e. 8t/ha on average) increased yield of wheat and </w:t>
      </w:r>
      <w:r w:rsidRPr="00FF0F93">
        <w:rPr>
          <w:i/>
          <w:iCs/>
          <w:sz w:val="18"/>
          <w:szCs w:val="18"/>
        </w:rPr>
        <w:t xml:space="preserve">tef </w:t>
      </w:r>
      <w:r w:rsidRPr="00FF0F93">
        <w:rPr>
          <w:sz w:val="18"/>
          <w:szCs w:val="18"/>
        </w:rPr>
        <w:t>by 70% and 43%</w:t>
      </w:r>
      <w:r>
        <w:rPr>
          <w:sz w:val="18"/>
          <w:szCs w:val="18"/>
        </w:rPr>
        <w:t xml:space="preserve"> over the control plot</w:t>
      </w:r>
      <w:r w:rsidRPr="00FF0F93">
        <w:rPr>
          <w:sz w:val="18"/>
          <w:szCs w:val="18"/>
        </w:rPr>
        <w:t xml:space="preserve">, respectively. </w:t>
      </w:r>
      <w:r>
        <w:rPr>
          <w:sz w:val="18"/>
          <w:szCs w:val="18"/>
        </w:rPr>
        <w:t xml:space="preserve">Applying orga-slurry significantly improved soil organic carbon (2.1 vs 1.2% on control plot) and total nitrogen (0.27 vs 0.12% on control plot) leading to more sustainability in the farming system. </w:t>
      </w:r>
      <w:r w:rsidRPr="00FF0F93">
        <w:rPr>
          <w:sz w:val="18"/>
          <w:szCs w:val="18"/>
        </w:rPr>
        <w:t xml:space="preserve">Furthermore, the non-adopter households of the biogas technology were found to spend ca. 2,395 Birr (i.e. 120 USD) more per year for cooking energy than that of the adopters. The annual income of the adopters was more by ca. 13,232 Birr (i.e. 663 USD) than that earned by non-adopters. Overall, our results imply that adoption of biogas technology can have multiple benefits in terms of enhancing food and energy security, environmental safety as well as other livelihood </w:t>
      </w:r>
      <w:r>
        <w:rPr>
          <w:sz w:val="18"/>
          <w:szCs w:val="18"/>
        </w:rPr>
        <w:t xml:space="preserve">of rural people </w:t>
      </w:r>
      <w:r w:rsidRPr="00FF0F93">
        <w:rPr>
          <w:sz w:val="18"/>
          <w:szCs w:val="18"/>
        </w:rPr>
        <w:t xml:space="preserve">in </w:t>
      </w:r>
      <w:r>
        <w:rPr>
          <w:sz w:val="18"/>
          <w:szCs w:val="18"/>
        </w:rPr>
        <w:t xml:space="preserve">Ethiopia and </w:t>
      </w:r>
      <w:r w:rsidRPr="00FF0F93">
        <w:rPr>
          <w:sz w:val="18"/>
          <w:szCs w:val="18"/>
        </w:rPr>
        <w:t xml:space="preserve">the </w:t>
      </w:r>
      <w:r>
        <w:rPr>
          <w:sz w:val="18"/>
          <w:szCs w:val="18"/>
        </w:rPr>
        <w:t>Sub-</w:t>
      </w:r>
      <w:r w:rsidRPr="00FF0F93">
        <w:rPr>
          <w:sz w:val="18"/>
          <w:szCs w:val="18"/>
        </w:rPr>
        <w:t>Saharan Africa.</w:t>
      </w:r>
    </w:p>
    <w:p w:rsidR="001F5160" w:rsidRDefault="001F5160" w:rsidP="009B0B60">
      <w:pPr>
        <w:pStyle w:val="BodyText"/>
        <w:spacing w:before="120" w:after="120"/>
        <w:ind w:left="994" w:hanging="893"/>
        <w:jc w:val="both"/>
        <w:rPr>
          <w:color w:val="000000"/>
        </w:rPr>
      </w:pPr>
      <w:r>
        <w:t>Keywords: Wheat and T</w:t>
      </w:r>
      <w:r w:rsidRPr="00FF0F93">
        <w:t>ef</w:t>
      </w:r>
      <w:r>
        <w:t xml:space="preserve"> yield</w:t>
      </w:r>
      <w:r w:rsidRPr="00FF0F93">
        <w:t>,</w:t>
      </w:r>
      <w:r>
        <w:t xml:space="preserve"> soil carbon, cooking fuel</w:t>
      </w:r>
      <w:r w:rsidRPr="00FF0F93">
        <w:t xml:space="preserve">, </w:t>
      </w:r>
      <w:r>
        <w:t>h</w:t>
      </w:r>
      <w:r w:rsidRPr="00FF0F93">
        <w:t xml:space="preserve">ousehold income, Tigray, </w:t>
      </w:r>
      <w:r w:rsidRPr="00FF0F93">
        <w:rPr>
          <w:color w:val="000000"/>
        </w:rPr>
        <w:t>Ethiopia</w:t>
      </w:r>
    </w:p>
    <w:p w:rsidR="001F5160" w:rsidRDefault="001F5160" w:rsidP="009B0B60">
      <w:pPr>
        <w:spacing w:before="120" w:after="120"/>
        <w:ind w:left="216"/>
        <w:rPr>
          <w:rFonts w:ascii="Arial"/>
          <w:b/>
          <w:bCs/>
          <w:color w:val="BF5A14"/>
          <w:sz w:val="20"/>
          <w:szCs w:val="20"/>
        </w:rPr>
      </w:pPr>
    </w:p>
    <w:p w:rsidR="001F5160" w:rsidRDefault="001F5160" w:rsidP="009B0B60">
      <w:pPr>
        <w:spacing w:before="120" w:after="120"/>
        <w:ind w:left="216"/>
        <w:rPr>
          <w:rFonts w:ascii="Arial"/>
          <w:b/>
          <w:bCs/>
          <w:color w:val="BF5A14"/>
          <w:sz w:val="20"/>
          <w:szCs w:val="20"/>
        </w:rPr>
      </w:pPr>
    </w:p>
    <w:p w:rsidR="001F5160" w:rsidRDefault="001F5160" w:rsidP="009B0B60">
      <w:pPr>
        <w:spacing w:before="120" w:after="120"/>
        <w:ind w:left="216"/>
        <w:rPr>
          <w:rFonts w:ascii="Arial" w:eastAsia="Times New Roman" w:cs="Arial"/>
          <w:b/>
          <w:bCs/>
          <w:color w:val="BF5A14"/>
          <w:sz w:val="20"/>
          <w:szCs w:val="20"/>
        </w:rPr>
      </w:pPr>
      <w:r>
        <w:rPr>
          <w:rFonts w:ascii="Arial" w:eastAsia="Times New Roman" w:cs="Arial"/>
          <w:b/>
          <w:bCs/>
          <w:color w:val="BF5A14"/>
          <w:sz w:val="20"/>
          <w:szCs w:val="20"/>
        </w:rPr>
        <w:t>Recent Publications</w:t>
      </w:r>
    </w:p>
    <w:p w:rsidR="001F5160" w:rsidRPr="009B0B60" w:rsidRDefault="001F5160" w:rsidP="00E15413">
      <w:pPr>
        <w:pStyle w:val="Bibliography"/>
        <w:numPr>
          <w:ilvl w:val="0"/>
          <w:numId w:val="6"/>
        </w:numPr>
        <w:tabs>
          <w:tab w:val="clear" w:pos="720"/>
        </w:tabs>
        <w:ind w:left="550" w:hanging="190"/>
        <w:jc w:val="both"/>
        <w:rPr>
          <w:rFonts w:ascii="Tw Cen MT" w:eastAsia="Times New Roman" w:hAnsi="Tw Cen MT"/>
          <w:sz w:val="16"/>
          <w:szCs w:val="16"/>
          <w:lang w:val="en-GB" w:eastAsia="en-GB"/>
        </w:rPr>
      </w:pPr>
      <w:r w:rsidRPr="009B0B60">
        <w:rPr>
          <w:rFonts w:ascii="Tw Cen MT" w:eastAsia="Times New Roman" w:hAnsi="Tw Cen MT" w:cs="Tw Cen MT"/>
          <w:sz w:val="16"/>
          <w:szCs w:val="16"/>
        </w:rPr>
        <w:t>Adugnaw B. 2014</w:t>
      </w:r>
      <w:r w:rsidRPr="009B0B60">
        <w:rPr>
          <w:rFonts w:ascii="Tw Cen MT" w:eastAsia="Times New Roman" w:hAnsi="Tw Cen MT" w:cs="Tw Cen MT"/>
          <w:sz w:val="16"/>
          <w:szCs w:val="16"/>
          <w:lang w:val="en-GB" w:eastAsia="en-GB"/>
        </w:rPr>
        <w:t>. Environmental degradation and management in Ethiopian Highlands: Review of lessons learned. International Journal of Environmental Protection and Policy, Vol. 2, pp. 24-34.</w:t>
      </w:r>
    </w:p>
    <w:p w:rsidR="001F5160" w:rsidRPr="009B0B60" w:rsidRDefault="001F5160" w:rsidP="00E15413">
      <w:pPr>
        <w:pStyle w:val="Bibliography"/>
        <w:numPr>
          <w:ilvl w:val="0"/>
          <w:numId w:val="6"/>
        </w:numPr>
        <w:tabs>
          <w:tab w:val="clear" w:pos="720"/>
        </w:tabs>
        <w:ind w:left="550" w:hanging="190"/>
        <w:jc w:val="both"/>
        <w:rPr>
          <w:rFonts w:ascii="Tw Cen MT" w:eastAsia="Times New Roman" w:hAnsi="Tw Cen MT"/>
          <w:sz w:val="16"/>
          <w:szCs w:val="16"/>
          <w:lang w:val="en-GB" w:eastAsia="en-GB"/>
        </w:rPr>
      </w:pPr>
      <w:r w:rsidRPr="009B0B60">
        <w:rPr>
          <w:rFonts w:ascii="Tw Cen MT" w:eastAsia="Times New Roman" w:hAnsi="Tw Cen MT" w:cs="Tw Cen MT"/>
          <w:sz w:val="16"/>
          <w:szCs w:val="16"/>
          <w:lang w:val="en-GB" w:eastAsia="en-GB"/>
        </w:rPr>
        <w:t>Getachew A., Beek C.V and Bird M. I.</w:t>
      </w:r>
      <w:r>
        <w:rPr>
          <w:rFonts w:ascii="Tw Cen MT" w:eastAsia="Times New Roman" w:hAnsi="Tw Cen MT" w:cs="Tw Cen MT"/>
          <w:sz w:val="16"/>
          <w:szCs w:val="16"/>
          <w:lang w:val="en-GB" w:eastAsia="en-GB"/>
        </w:rPr>
        <w:t xml:space="preserve"> </w:t>
      </w:r>
      <w:r w:rsidRPr="009B0B60">
        <w:rPr>
          <w:rFonts w:ascii="Tw Cen MT" w:eastAsia="Times New Roman" w:hAnsi="Tw Cen MT" w:cs="Tw Cen MT"/>
          <w:sz w:val="16"/>
          <w:szCs w:val="16"/>
          <w:lang w:val="en-GB" w:eastAsia="en-GB"/>
        </w:rPr>
        <w:t>2014. Influence of integrated soil fertility management in wheat and tef productivity and soil chemical properties in the highland tropical environment, Journal of soil science and plant nutrition,</w:t>
      </w:r>
      <w:r w:rsidRPr="009B0B60">
        <w:rPr>
          <w:rFonts w:ascii="Tw Cen MT" w:eastAsia="Times New Roman" w:hAnsi="Tw Cen MT" w:cs="Tw Cen MT"/>
          <w:sz w:val="16"/>
          <w:szCs w:val="16"/>
        </w:rPr>
        <w:t xml:space="preserve"> 14 (3).</w:t>
      </w:r>
    </w:p>
    <w:p w:rsidR="001F5160" w:rsidRPr="009B0B60" w:rsidRDefault="001F5160" w:rsidP="00E15413">
      <w:pPr>
        <w:pStyle w:val="Bibliography"/>
        <w:numPr>
          <w:ilvl w:val="0"/>
          <w:numId w:val="6"/>
        </w:numPr>
        <w:tabs>
          <w:tab w:val="clear" w:pos="720"/>
        </w:tabs>
        <w:ind w:left="550" w:hanging="190"/>
        <w:jc w:val="both"/>
        <w:rPr>
          <w:rFonts w:ascii="Tw Cen MT" w:eastAsia="Times New Roman" w:hAnsi="Tw Cen MT"/>
          <w:sz w:val="16"/>
          <w:szCs w:val="16"/>
          <w:lang w:val="en-GB" w:eastAsia="en-GB"/>
        </w:rPr>
      </w:pPr>
      <w:r w:rsidRPr="009B0B60">
        <w:rPr>
          <w:rFonts w:ascii="Tw Cen MT" w:eastAsia="Times New Roman" w:hAnsi="Tw Cen MT" w:cs="Tw Cen MT"/>
          <w:sz w:val="16"/>
          <w:szCs w:val="16"/>
          <w:lang w:val="en-GB" w:eastAsia="en-GB"/>
        </w:rPr>
        <w:t>Shahabz M., Akhtar M., Ahmed W. and Wakeel A. 2014. Integrated effect of different N-fertilizer rates and bio-slurry application on growth and N-use efficiency of okra (Hibiscus esculentus L.), Turkish Journal of Agriculture and Forestry, 38:311-3</w:t>
      </w:r>
    </w:p>
    <w:p w:rsidR="001F5160" w:rsidRPr="009B0B60" w:rsidRDefault="001F5160" w:rsidP="00E15413">
      <w:pPr>
        <w:pStyle w:val="Bibliography"/>
        <w:numPr>
          <w:ilvl w:val="0"/>
          <w:numId w:val="6"/>
        </w:numPr>
        <w:tabs>
          <w:tab w:val="clear" w:pos="720"/>
        </w:tabs>
        <w:ind w:left="550" w:hanging="190"/>
        <w:jc w:val="both"/>
        <w:rPr>
          <w:rFonts w:ascii="Tw Cen MT" w:eastAsia="Times New Roman" w:hAnsi="Tw Cen MT"/>
          <w:sz w:val="16"/>
          <w:szCs w:val="16"/>
          <w:lang w:val="en-GB" w:eastAsia="en-GB"/>
        </w:rPr>
      </w:pPr>
      <w:r w:rsidRPr="009B0B60">
        <w:rPr>
          <w:rFonts w:ascii="Tw Cen MT" w:eastAsia="Times New Roman" w:hAnsi="Tw Cen MT" w:cs="Tw Cen MT"/>
          <w:sz w:val="16"/>
          <w:szCs w:val="16"/>
        </w:rPr>
        <w:t>Zenebe G. 2007. Household fuel consumption and resource use in rural urban Ethiopia. Ph.D. Thesis, Wageningen University, the Netherlands, 184 pp.</w:t>
      </w:r>
    </w:p>
    <w:p w:rsidR="001F5160" w:rsidRPr="009B0B60" w:rsidRDefault="001F5160" w:rsidP="00E15413">
      <w:pPr>
        <w:pStyle w:val="Bibliography"/>
        <w:numPr>
          <w:ilvl w:val="0"/>
          <w:numId w:val="6"/>
        </w:numPr>
        <w:tabs>
          <w:tab w:val="clear" w:pos="720"/>
        </w:tabs>
        <w:ind w:left="550" w:hanging="190"/>
        <w:jc w:val="both"/>
        <w:rPr>
          <w:rFonts w:ascii="Tw Cen MT" w:eastAsia="Times New Roman" w:hAnsi="Tw Cen MT"/>
          <w:sz w:val="16"/>
          <w:szCs w:val="16"/>
          <w:lang w:val="en-GB" w:eastAsia="en-GB"/>
        </w:rPr>
      </w:pPr>
      <w:r w:rsidRPr="009B0B60">
        <w:rPr>
          <w:rFonts w:ascii="Tw Cen MT" w:eastAsia="Times New Roman" w:hAnsi="Tw Cen MT" w:cs="Tw Cen MT"/>
          <w:sz w:val="16"/>
          <w:szCs w:val="16"/>
          <w:lang w:val="en-GB" w:eastAsia="en-GB"/>
        </w:rPr>
        <w:t>Zupancic G. D. and Grilc V. 2012. Anaerobic Treatment and Biogas Production from Organic Waste, Institute for Environmental Protection and Sensors, Slovenia</w:t>
      </w:r>
    </w:p>
    <w:p w:rsidR="001F5160" w:rsidRDefault="001F5160" w:rsidP="0011310D">
      <w:pPr>
        <w:tabs>
          <w:tab w:val="left" w:pos="384"/>
        </w:tabs>
        <w:ind w:right="117"/>
        <w:rPr>
          <w:sz w:val="18"/>
          <w:szCs w:val="18"/>
        </w:rPr>
      </w:pPr>
    </w:p>
    <w:p w:rsidR="001F5160" w:rsidRPr="0011310D" w:rsidRDefault="001F5160" w:rsidP="0011310D">
      <w:pPr>
        <w:tabs>
          <w:tab w:val="left" w:pos="384"/>
        </w:tabs>
        <w:ind w:right="117"/>
        <w:rPr>
          <w:sz w:val="18"/>
          <w:szCs w:val="18"/>
        </w:rPr>
      </w:pPr>
    </w:p>
    <w:p w:rsidR="001F5160" w:rsidRDefault="001F5160" w:rsidP="0011310D">
      <w:pPr>
        <w:jc w:val="both"/>
        <w:rPr>
          <w:sz w:val="18"/>
          <w:szCs w:val="18"/>
        </w:rPr>
      </w:pPr>
    </w:p>
    <w:p w:rsidR="001F5160" w:rsidRDefault="001F5160" w:rsidP="0011310D">
      <w:pPr>
        <w:jc w:val="both"/>
        <w:rPr>
          <w:sz w:val="18"/>
          <w:szCs w:val="18"/>
        </w:rPr>
      </w:pPr>
    </w:p>
    <w:p w:rsidR="001F5160" w:rsidRDefault="001F5160" w:rsidP="0011310D">
      <w:pPr>
        <w:jc w:val="both"/>
        <w:rPr>
          <w:sz w:val="18"/>
          <w:szCs w:val="18"/>
        </w:rPr>
      </w:pPr>
    </w:p>
    <w:p w:rsidR="001F5160" w:rsidRPr="0011310D" w:rsidRDefault="001F5160" w:rsidP="0011310D">
      <w:pPr>
        <w:jc w:val="both"/>
        <w:rPr>
          <w:sz w:val="18"/>
          <w:szCs w:val="18"/>
        </w:rPr>
        <w:sectPr w:rsidR="001F5160" w:rsidRPr="0011310D">
          <w:type w:val="continuous"/>
          <w:pgSz w:w="11910" w:h="16840"/>
          <w:pgMar w:top="1740" w:right="600" w:bottom="840" w:left="620" w:header="720" w:footer="720" w:gutter="0"/>
          <w:cols w:num="2" w:space="720" w:equalWidth="0">
            <w:col w:w="5214" w:space="138"/>
            <w:col w:w="5338"/>
          </w:cols>
        </w:sectPr>
      </w:pPr>
    </w:p>
    <w:p w:rsidR="001F5160" w:rsidRDefault="001F5160">
      <w:pPr>
        <w:pStyle w:val="BodyText"/>
        <w:rPr>
          <w:rFonts w:ascii="Calibri"/>
          <w:sz w:val="20"/>
          <w:szCs w:val="20"/>
        </w:rPr>
      </w:pPr>
    </w:p>
    <w:p w:rsidR="001F5160" w:rsidRDefault="001F5160">
      <w:pPr>
        <w:pStyle w:val="BodyText"/>
        <w:spacing w:line="40" w:lineRule="exact"/>
        <w:ind w:left="2202"/>
        <w:rPr>
          <w:rFonts w:ascii="Calibri"/>
          <w:sz w:val="4"/>
          <w:szCs w:val="4"/>
        </w:rPr>
      </w:pPr>
      <w:r>
        <w:rPr>
          <w:noProof/>
        </w:rPr>
      </w:r>
      <w:r w:rsidRPr="003D69A9">
        <w:rPr>
          <w:rFonts w:ascii="Calibri"/>
          <w:noProof/>
          <w:sz w:val="4"/>
          <w:szCs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strokecolor="#004080" strokeweight="2pt"/>
            <w10:anchorlock/>
          </v:group>
        </w:pict>
      </w:r>
    </w:p>
    <w:p w:rsidR="001F5160" w:rsidRDefault="001F5160" w:rsidP="00404E5B">
      <w:pPr>
        <w:spacing w:before="92"/>
        <w:ind w:right="4234"/>
        <w:rPr>
          <w:rFonts w:ascii="Arial"/>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6" type="#_x0000_t75" alt="dummy" style="width:49.5pt;height:48.75pt;visibility:visible">
            <v:imagedata r:id="rId9" o:title=""/>
          </v:shape>
        </w:pict>
      </w:r>
      <w:r>
        <w:rPr>
          <w:rFonts w:ascii="Arial" w:eastAsia="Times New Roman" w:cs="Arial"/>
          <w:color w:val="BF5A14"/>
        </w:rPr>
        <w:t>Biography</w:t>
      </w:r>
    </w:p>
    <w:p w:rsidR="001F5160" w:rsidRDefault="001F5160">
      <w:pPr>
        <w:spacing w:before="41" w:line="154" w:lineRule="exact"/>
        <w:ind w:left="213" w:right="231"/>
        <w:jc w:val="both"/>
        <w:rPr>
          <w:rFonts w:ascii="Arial"/>
          <w:sz w:val="14"/>
          <w:szCs w:val="14"/>
        </w:rPr>
      </w:pPr>
      <w:r>
        <w:rPr>
          <w:rFonts w:ascii="Arial" w:eastAsia="Times New Roman" w:cs="Arial"/>
          <w:sz w:val="14"/>
          <w:szCs w:val="14"/>
        </w:rPr>
        <w:t>Gebreyohannes Girmay has his expertise in soil fertility management systems focusing on exploring techniques for improving soil quality and health. He teaches and advices post graduate students in the soil science, dryland ecology and resource management, dryland agronomy, sustainable watershed management, and dryland agroforestry and land restoration programmes in Mekelle University, Ethiopia. His current research activities focus on integrated soil fertility management, carbon sequestration in soils, reservoir conservation and sediment use, and land evaluation for irrigation.</w:t>
      </w:r>
    </w:p>
    <w:p w:rsidR="001F5160" w:rsidRDefault="001F5160">
      <w:pPr>
        <w:spacing w:before="62"/>
        <w:ind w:left="4217" w:right="4235"/>
        <w:jc w:val="center"/>
        <w:rPr>
          <w:rFonts w:ascii="Arial"/>
          <w:sz w:val="14"/>
          <w:szCs w:val="14"/>
        </w:rPr>
      </w:pPr>
      <w:r>
        <w:rPr>
          <w:rFonts w:ascii="Arial" w:eastAsia="Times New Roman" w:cs="Arial"/>
          <w:sz w:val="14"/>
          <w:szCs w:val="14"/>
        </w:rPr>
        <w:t xml:space="preserve">Email: </w:t>
      </w:r>
      <w:hyperlink r:id="rId10" w:history="1">
        <w:r w:rsidRPr="00A15C09">
          <w:rPr>
            <w:rStyle w:val="Hyperlink"/>
            <w:rFonts w:ascii="Arial" w:eastAsia="Times New Roman" w:cs="Arial"/>
            <w:sz w:val="14"/>
            <w:szCs w:val="14"/>
          </w:rPr>
          <w:t>gebreyohannes.girmay@gmail.com</w:t>
        </w:r>
      </w:hyperlink>
    </w:p>
    <w:p w:rsidR="001F5160" w:rsidRDefault="001F5160">
      <w:pPr>
        <w:pStyle w:val="BodyText"/>
        <w:spacing w:before="2"/>
        <w:rPr>
          <w:rFonts w:ascii="Arial"/>
          <w:sz w:val="19"/>
          <w:szCs w:val="19"/>
        </w:rPr>
      </w:pPr>
      <w:r>
        <w:rPr>
          <w:noProof/>
        </w:rPr>
        <w:pict>
          <v:line id="Line 3" o:spid="_x0000_s1028" style="position:absolute;z-index:251658240;visibility:visible;mso-wrap-distance-left:0;mso-wrap-distance-right:0;mso-position-horizontal-relative:page" from="162.1pt,13.25pt" to="433.15pt,13.25pt" strokecolor="#004080" strokeweight=".5pt">
            <w10:wrap type="topAndBottom" anchorx="page"/>
            <w10:anchorlock/>
          </v:line>
        </w:pict>
      </w:r>
    </w:p>
    <w:p w:rsidR="001F5160" w:rsidRPr="00B21A57" w:rsidRDefault="001F5160">
      <w:pPr>
        <w:spacing w:before="39"/>
        <w:ind w:left="100"/>
        <w:rPr>
          <w:rFonts w:ascii="Minion Pro" w:eastAsia="Times New Roman" w:cs="Minion Pro"/>
          <w:b/>
          <w:bCs/>
          <w:sz w:val="20"/>
          <w:szCs w:val="20"/>
        </w:rPr>
      </w:pPr>
      <w:r w:rsidRPr="00B21A57">
        <w:rPr>
          <w:rFonts w:ascii="Minion Pro" w:eastAsia="Times New Roman" w:cs="Minion Pro"/>
          <w:b/>
          <w:bCs/>
          <w:sz w:val="20"/>
          <w:szCs w:val="20"/>
        </w:rPr>
        <w:t>Notes/Comments:</w:t>
      </w:r>
    </w:p>
    <w:p w:rsidR="001F5160" w:rsidRDefault="001F5160">
      <w:pPr>
        <w:rPr>
          <w:rFonts w:ascii="Minion Pro"/>
          <w:sz w:val="24"/>
          <w:szCs w:val="24"/>
        </w:rPr>
        <w:sectPr w:rsidR="001F5160">
          <w:type w:val="continuous"/>
          <w:pgSz w:w="11910" w:h="16840"/>
          <w:pgMar w:top="1740" w:right="600" w:bottom="840" w:left="620" w:header="720" w:footer="720" w:gutter="0"/>
          <w:cols w:space="720"/>
        </w:sectPr>
      </w:pPr>
    </w:p>
    <w:p w:rsidR="001F5160" w:rsidRDefault="001F5160" w:rsidP="00EB6A02">
      <w:pPr>
        <w:pStyle w:val="BodyText"/>
        <w:spacing w:before="3"/>
      </w:pPr>
    </w:p>
    <w:sectPr w:rsidR="001F5160"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5160" w:rsidRDefault="001F5160">
      <w:r>
        <w:separator/>
      </w:r>
    </w:p>
  </w:endnote>
  <w:endnote w:type="continuationSeparator" w:id="1">
    <w:p w:rsidR="001F5160" w:rsidRDefault="001F51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160" w:rsidRDefault="001F5160">
    <w:pPr>
      <w:pStyle w:val="BodyText"/>
      <w:spacing w:line="14" w:lineRule="auto"/>
      <w:rPr>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5160" w:rsidRDefault="001F5160">
      <w:r>
        <w:separator/>
      </w:r>
    </w:p>
  </w:footnote>
  <w:footnote w:type="continuationSeparator" w:id="1">
    <w:p w:rsidR="001F5160" w:rsidRDefault="001F516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160" w:rsidRDefault="001F5160">
    <w:pPr>
      <w:pStyle w:val="BodyText"/>
      <w:spacing w:line="14" w:lineRule="auto"/>
      <w:rPr>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432BA"/>
    <w:multiLevelType w:val="hybridMultilevel"/>
    <w:tmpl w:val="AFBAFC6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nsid w:val="2E2D1EFF"/>
    <w:multiLevelType w:val="hybridMultilevel"/>
    <w:tmpl w:val="0F824430"/>
    <w:lvl w:ilvl="0" w:tplc="6790558A">
      <w:start w:val="1"/>
      <w:numFmt w:val="decimal"/>
      <w:lvlText w:val="%1"/>
      <w:lvlJc w:val="left"/>
      <w:pPr>
        <w:tabs>
          <w:tab w:val="num" w:pos="720"/>
        </w:tabs>
        <w:ind w:left="720" w:hanging="360"/>
      </w:pPr>
      <w:rPr>
        <w:rFonts w:ascii="Times New Roman" w:eastAsia="Times New Roman" w:hAnsi="Times New Roman"/>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Times New Roman" w:hAnsi="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4EB70E72"/>
    <w:multiLevelType w:val="hybridMultilevel"/>
    <w:tmpl w:val="C168370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Times New Roman" w:hAnsi="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4"/>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efaultTabStop w:val="720"/>
  <w:doNotHyphenateCaps/>
  <w:drawingGridHorizontalSpacing w:val="110"/>
  <w:displayHorizontalDrawingGridEvery w:val="2"/>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E37"/>
    <w:rsid w:val="00000BD5"/>
    <w:rsid w:val="00007863"/>
    <w:rsid w:val="00011FFB"/>
    <w:rsid w:val="00042C81"/>
    <w:rsid w:val="000503CC"/>
    <w:rsid w:val="000A1EE2"/>
    <w:rsid w:val="000E2911"/>
    <w:rsid w:val="000E5040"/>
    <w:rsid w:val="0011310D"/>
    <w:rsid w:val="001134D3"/>
    <w:rsid w:val="001263DF"/>
    <w:rsid w:val="00132342"/>
    <w:rsid w:val="00185EA2"/>
    <w:rsid w:val="001F5160"/>
    <w:rsid w:val="002204C9"/>
    <w:rsid w:val="00240957"/>
    <w:rsid w:val="002455EC"/>
    <w:rsid w:val="00292ED9"/>
    <w:rsid w:val="003205E3"/>
    <w:rsid w:val="0032508B"/>
    <w:rsid w:val="00325A7E"/>
    <w:rsid w:val="0034051B"/>
    <w:rsid w:val="003911A1"/>
    <w:rsid w:val="003B523D"/>
    <w:rsid w:val="003D321C"/>
    <w:rsid w:val="003D69A9"/>
    <w:rsid w:val="00404E5B"/>
    <w:rsid w:val="00414F7B"/>
    <w:rsid w:val="004355DC"/>
    <w:rsid w:val="00452588"/>
    <w:rsid w:val="004749B4"/>
    <w:rsid w:val="00494130"/>
    <w:rsid w:val="004A3386"/>
    <w:rsid w:val="004E41B8"/>
    <w:rsid w:val="004F3523"/>
    <w:rsid w:val="00534EFE"/>
    <w:rsid w:val="005973B9"/>
    <w:rsid w:val="005B3A56"/>
    <w:rsid w:val="006060CE"/>
    <w:rsid w:val="00616076"/>
    <w:rsid w:val="0063497F"/>
    <w:rsid w:val="006462EC"/>
    <w:rsid w:val="00661883"/>
    <w:rsid w:val="006F7457"/>
    <w:rsid w:val="00701F96"/>
    <w:rsid w:val="007165EE"/>
    <w:rsid w:val="00741B53"/>
    <w:rsid w:val="00766DA0"/>
    <w:rsid w:val="0077383E"/>
    <w:rsid w:val="007903B0"/>
    <w:rsid w:val="00795FCF"/>
    <w:rsid w:val="007C3C73"/>
    <w:rsid w:val="008111CC"/>
    <w:rsid w:val="00873DF0"/>
    <w:rsid w:val="008756E6"/>
    <w:rsid w:val="008A08B6"/>
    <w:rsid w:val="00953F48"/>
    <w:rsid w:val="00983713"/>
    <w:rsid w:val="009B0B60"/>
    <w:rsid w:val="009B2D44"/>
    <w:rsid w:val="00A02B3C"/>
    <w:rsid w:val="00A03BDD"/>
    <w:rsid w:val="00A07E82"/>
    <w:rsid w:val="00A15C09"/>
    <w:rsid w:val="00A3115B"/>
    <w:rsid w:val="00A61836"/>
    <w:rsid w:val="00A9710C"/>
    <w:rsid w:val="00AD3664"/>
    <w:rsid w:val="00AE3E37"/>
    <w:rsid w:val="00B21A57"/>
    <w:rsid w:val="00C01570"/>
    <w:rsid w:val="00C33602"/>
    <w:rsid w:val="00C33B8D"/>
    <w:rsid w:val="00C802D4"/>
    <w:rsid w:val="00C97506"/>
    <w:rsid w:val="00CB7613"/>
    <w:rsid w:val="00CC4229"/>
    <w:rsid w:val="00CC43AD"/>
    <w:rsid w:val="00CD563E"/>
    <w:rsid w:val="00CD6F55"/>
    <w:rsid w:val="00D6364A"/>
    <w:rsid w:val="00DB7368"/>
    <w:rsid w:val="00DC5DC3"/>
    <w:rsid w:val="00DD3451"/>
    <w:rsid w:val="00DE3104"/>
    <w:rsid w:val="00DE50FD"/>
    <w:rsid w:val="00DF4921"/>
    <w:rsid w:val="00E12D1B"/>
    <w:rsid w:val="00E15413"/>
    <w:rsid w:val="00E24B29"/>
    <w:rsid w:val="00E26B10"/>
    <w:rsid w:val="00EB6A02"/>
    <w:rsid w:val="00F72EEA"/>
    <w:rsid w:val="00F84CAE"/>
    <w:rsid w:val="00FA6673"/>
    <w:rsid w:val="00FC55FC"/>
    <w:rsid w:val="00FD590B"/>
    <w:rsid w:val="00FF0EB2"/>
    <w:rsid w:val="00FF0F9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33B8D"/>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C33B8D"/>
    <w:rPr>
      <w:rFonts w:ascii="Cambria" w:hAnsi="Cambria" w:cs="Cambria"/>
      <w:b/>
      <w:bCs/>
      <w:i/>
      <w:iCs/>
      <w:sz w:val="28"/>
      <w:szCs w:val="28"/>
    </w:rPr>
  </w:style>
  <w:style w:type="character" w:customStyle="1" w:styleId="Heading3Char">
    <w:name w:val="Heading 3 Char"/>
    <w:basedOn w:val="DefaultParagraphFont"/>
    <w:link w:val="Heading3"/>
    <w:uiPriority w:val="99"/>
    <w:semiHidden/>
    <w:locked/>
    <w:rsid w:val="00C33B8D"/>
    <w:rPr>
      <w:rFonts w:ascii="Cambria" w:hAnsi="Cambria" w:cs="Cambria"/>
      <w:b/>
      <w:bCs/>
      <w:sz w:val="26"/>
      <w:szCs w:val="26"/>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hAnsi="Tahoma" w:cs="Tahoma"/>
      <w:sz w:val="16"/>
      <w:szCs w:val="16"/>
    </w:rPr>
  </w:style>
  <w:style w:type="character" w:styleId="Hyperlink">
    <w:name w:val="Hyperlink"/>
    <w:basedOn w:val="DefaultParagraphFont"/>
    <w:uiPriority w:val="99"/>
    <w:rsid w:val="008756E6"/>
    <w:rPr>
      <w:color w:val="0000FF"/>
      <w:u w:val="single"/>
    </w:rPr>
  </w:style>
  <w:style w:type="character" w:customStyle="1" w:styleId="p-node">
    <w:name w:val="p-node"/>
    <w:basedOn w:val="DefaultParagraphFont"/>
    <w:uiPriority w:val="99"/>
    <w:rsid w:val="00240957"/>
  </w:style>
  <w:style w:type="table" w:styleId="TableGrid">
    <w:name w:val="Table Grid"/>
    <w:basedOn w:val="TableNormal"/>
    <w:uiPriority w:val="99"/>
    <w:locked/>
    <w:rsid w:val="007C3C73"/>
    <w:pPr>
      <w:widowControl w:val="0"/>
    </w:pPr>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99"/>
    <w:qFormat/>
    <w:locked/>
    <w:rsid w:val="0011310D"/>
    <w:rPr>
      <w:b/>
      <w:bCs/>
    </w:rPr>
  </w:style>
  <w:style w:type="paragraph" w:styleId="Bibliography">
    <w:name w:val="Bibliography"/>
    <w:basedOn w:val="Normal"/>
    <w:next w:val="Normal"/>
    <w:uiPriority w:val="99"/>
    <w:rsid w:val="0011310D"/>
    <w:pPr>
      <w:widowControl/>
    </w:pPr>
    <w:rPr>
      <w:rFonts w:ascii="Times New Roman" w:hAnsi="Times New Roman" w:cs="Times New Roman"/>
      <w:sz w:val="24"/>
      <w:szCs w:val="24"/>
    </w:rPr>
  </w:style>
  <w:style w:type="character" w:styleId="FollowedHyperlink">
    <w:name w:val="FollowedHyperlink"/>
    <w:basedOn w:val="DefaultParagraphFont"/>
    <w:uiPriority w:val="99"/>
    <w:rsid w:val="00132342"/>
    <w:rPr>
      <w:color w:val="800080"/>
      <w:u w:val="single"/>
    </w:rPr>
  </w:style>
</w:styles>
</file>

<file path=word/webSettings.xml><?xml version="1.0" encoding="utf-8"?>
<w:webSettings xmlns:r="http://schemas.openxmlformats.org/officeDocument/2006/relationships" xmlns:w="http://schemas.openxmlformats.org/wordprocessingml/2006/main">
  <w:divs>
    <w:div w:id="1396973109">
      <w:marLeft w:val="0"/>
      <w:marRight w:val="0"/>
      <w:marTop w:val="0"/>
      <w:marBottom w:val="0"/>
      <w:divBdr>
        <w:top w:val="none" w:sz="0" w:space="0" w:color="auto"/>
        <w:left w:val="none" w:sz="0" w:space="0" w:color="auto"/>
        <w:bottom w:val="none" w:sz="0" w:space="0" w:color="auto"/>
        <w:right w:val="none" w:sz="0" w:space="0" w:color="auto"/>
      </w:divBdr>
    </w:div>
    <w:div w:id="139697311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gebreyohannes.girmay@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44</TotalTime>
  <Pages>1</Pages>
  <Words>527</Words>
  <Characters>3006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 trauma and alcohol dependency: Connections and disconnections in alcohol treatment for women</dc:title>
  <dc:subject/>
  <dc:creator>mehaboobi shaik</dc:creator>
  <cp:keywords/>
  <dc:description/>
  <cp:lastModifiedBy>Gebreyohannes</cp:lastModifiedBy>
  <cp:revision>5</cp:revision>
  <dcterms:created xsi:type="dcterms:W3CDTF">2019-03-20T14:33:00Z</dcterms:created>
  <dcterms:modified xsi:type="dcterms:W3CDTF">2019-03-20T15:28:00Z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