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B3C" w:rsidRDefault="00A02B3C" w:rsidP="00494130">
      <w:pPr>
        <w:pStyle w:val="Heading1"/>
        <w:spacing w:before="170"/>
        <w:ind w:left="0"/>
      </w:pPr>
      <w:r>
        <w:rPr>
          <w:color w:val="337AB7"/>
        </w:rPr>
        <w:t>Applying manure improves haricot bean response to phosphorus on acidic soils, eastern Ethiopian highlands</w:t>
      </w:r>
    </w:p>
    <w:p w:rsidR="00A02B3C" w:rsidRDefault="00A02B3C" w:rsidP="005973B9">
      <w:pPr>
        <w:pStyle w:val="BodyText"/>
        <w:spacing w:before="73" w:line="198" w:lineRule="exact"/>
        <w:ind w:left="100" w:right="5987"/>
        <w:rPr>
          <w:rFonts w:ascii="Arial"/>
        </w:rPr>
      </w:pPr>
    </w:p>
    <w:p w:rsidR="00A02B3C" w:rsidRDefault="00A02B3C" w:rsidP="00240957">
      <w:pPr>
        <w:pStyle w:val="BodyText"/>
        <w:spacing w:before="73" w:line="198" w:lineRule="exact"/>
        <w:ind w:left="100" w:right="5740"/>
        <w:rPr>
          <w:rFonts w:ascii="Arial" w:eastAsia="Times New Roman" w:cs="Arial"/>
        </w:rPr>
      </w:pPr>
      <w:r>
        <w:rPr>
          <w:rFonts w:ascii="Arial" w:eastAsia="Times New Roman" w:cs="Arial"/>
        </w:rPr>
        <w:t>Gebreyohannes Girmay, PhD, Mekelle University, Ethiopia</w:t>
      </w:r>
    </w:p>
    <w:p w:rsidR="00A02B3C" w:rsidRDefault="00A02B3C" w:rsidP="005973B9">
      <w:pPr>
        <w:pStyle w:val="BodyText"/>
        <w:spacing w:before="73" w:line="198" w:lineRule="exact"/>
        <w:ind w:left="100" w:right="5987"/>
        <w:rPr>
          <w:rFonts w:ascii="Arial" w:eastAsia="Times New Roman" w:cs="Arial"/>
        </w:rPr>
      </w:pPr>
      <w:r>
        <w:rPr>
          <w:rFonts w:ascii="Arial" w:eastAsia="Times New Roman" w:cs="Arial"/>
        </w:rPr>
        <w:t>Tesfaye Lishan, MSc, Mekelle University, Ethiopia</w:t>
      </w:r>
    </w:p>
    <w:p w:rsidR="00A02B3C" w:rsidRDefault="00A02B3C">
      <w:pPr>
        <w:pStyle w:val="BodyText"/>
        <w:rPr>
          <w:rFonts w:ascii="Arial"/>
          <w:sz w:val="20"/>
          <w:szCs w:val="20"/>
        </w:rPr>
      </w:pPr>
    </w:p>
    <w:p w:rsidR="00A02B3C" w:rsidRDefault="00A02B3C">
      <w:pPr>
        <w:pStyle w:val="BodyText"/>
        <w:spacing w:before="3"/>
        <w:rPr>
          <w:rFonts w:ascii="Arial"/>
          <w:sz w:val="21"/>
          <w:szCs w:val="21"/>
        </w:rPr>
      </w:pPr>
    </w:p>
    <w:p w:rsidR="00A02B3C" w:rsidRDefault="00A02B3C">
      <w:pPr>
        <w:rPr>
          <w:rFonts w:ascii="Arial"/>
          <w:sz w:val="21"/>
          <w:szCs w:val="21"/>
        </w:rPr>
        <w:sectPr w:rsidR="00A02B3C">
          <w:headerReference w:type="default" r:id="rId7"/>
          <w:footerReference w:type="default" r:id="rId8"/>
          <w:type w:val="continuous"/>
          <w:pgSz w:w="11910" w:h="16840"/>
          <w:pgMar w:top="1740" w:right="600" w:bottom="840" w:left="620" w:header="541" w:footer="642" w:gutter="0"/>
          <w:cols w:space="720"/>
        </w:sectPr>
      </w:pPr>
    </w:p>
    <w:p w:rsidR="00A02B3C" w:rsidRDefault="00A02B3C">
      <w:pPr>
        <w:pStyle w:val="Heading3"/>
        <w:spacing w:before="147"/>
        <w:jc w:val="both"/>
      </w:pPr>
      <w:r>
        <w:rPr>
          <w:color w:val="BF5A14"/>
        </w:rPr>
        <w:t>Abstract</w:t>
      </w:r>
    </w:p>
    <w:p w:rsidR="00A02B3C" w:rsidRPr="00240957" w:rsidRDefault="00A02B3C" w:rsidP="00240957">
      <w:pPr>
        <w:pStyle w:val="BodyText"/>
        <w:spacing w:before="90" w:line="280" w:lineRule="auto"/>
        <w:ind w:left="100"/>
        <w:jc w:val="both"/>
        <w:rPr>
          <w:rStyle w:val="p-node"/>
        </w:rPr>
      </w:pPr>
      <w:r>
        <w:t xml:space="preserve">Statement of the Problem: </w:t>
      </w:r>
      <w:r w:rsidRPr="00240957">
        <w:rPr>
          <w:rStyle w:val="p-node"/>
        </w:rPr>
        <w:t xml:space="preserve">Haricot bean </w:t>
      </w:r>
      <w:r>
        <w:rPr>
          <w:rStyle w:val="p-node"/>
        </w:rPr>
        <w:t>(</w:t>
      </w:r>
      <w:r w:rsidRPr="00185EA2">
        <w:rPr>
          <w:rStyle w:val="p-node"/>
          <w:i/>
          <w:iCs/>
        </w:rPr>
        <w:t>Phaseolus vulgaris L.</w:t>
      </w:r>
      <w:r>
        <w:rPr>
          <w:rStyle w:val="p-node"/>
        </w:rPr>
        <w:t xml:space="preserve">) </w:t>
      </w:r>
      <w:r w:rsidRPr="00240957">
        <w:rPr>
          <w:rStyle w:val="p-node"/>
        </w:rPr>
        <w:t>production in Ethiopia is mainly limited by po</w:t>
      </w:r>
      <w:r>
        <w:rPr>
          <w:rStyle w:val="p-node"/>
        </w:rPr>
        <w:t xml:space="preserve">or nutrient availability on non-neutral </w:t>
      </w:r>
      <w:r w:rsidRPr="00240957">
        <w:rPr>
          <w:rStyle w:val="p-node"/>
        </w:rPr>
        <w:t xml:space="preserve">soils. Attempts so far done in using </w:t>
      </w:r>
      <w:r>
        <w:rPr>
          <w:rStyle w:val="p-node"/>
        </w:rPr>
        <w:t xml:space="preserve">only </w:t>
      </w:r>
      <w:r w:rsidRPr="00240957">
        <w:rPr>
          <w:rStyle w:val="p-node"/>
        </w:rPr>
        <w:t xml:space="preserve">mineral fertilizers </w:t>
      </w:r>
      <w:r>
        <w:rPr>
          <w:rStyle w:val="p-node"/>
        </w:rPr>
        <w:t>on such soils</w:t>
      </w:r>
      <w:r w:rsidRPr="00240957">
        <w:rPr>
          <w:rStyle w:val="p-node"/>
        </w:rPr>
        <w:t xml:space="preserve"> brought little improvement in </w:t>
      </w:r>
      <w:r>
        <w:rPr>
          <w:rStyle w:val="p-node"/>
        </w:rPr>
        <w:t xml:space="preserve">haricot bean </w:t>
      </w:r>
      <w:r w:rsidRPr="00240957">
        <w:rPr>
          <w:rStyle w:val="p-node"/>
        </w:rPr>
        <w:t xml:space="preserve">yield. </w:t>
      </w:r>
      <w:r>
        <w:rPr>
          <w:rStyle w:val="p-node"/>
        </w:rPr>
        <w:t xml:space="preserve">Thus, the purpose of this study is to examine the effect of </w:t>
      </w:r>
      <w:r w:rsidRPr="00240957">
        <w:rPr>
          <w:rStyle w:val="p-node"/>
        </w:rPr>
        <w:t xml:space="preserve">integrated </w:t>
      </w:r>
      <w:r>
        <w:rPr>
          <w:rStyle w:val="p-node"/>
        </w:rPr>
        <w:t xml:space="preserve">application of </w:t>
      </w:r>
      <w:r w:rsidRPr="00240957">
        <w:rPr>
          <w:rStyle w:val="p-node"/>
        </w:rPr>
        <w:t>manure and triple superphospate</w:t>
      </w:r>
      <w:r>
        <w:rPr>
          <w:rStyle w:val="p-node"/>
        </w:rPr>
        <w:t xml:space="preserve"> (TSP)</w:t>
      </w:r>
      <w:r w:rsidRPr="00240957">
        <w:rPr>
          <w:rStyle w:val="p-node"/>
        </w:rPr>
        <w:t xml:space="preserve"> on</w:t>
      </w:r>
      <w:r>
        <w:rPr>
          <w:rStyle w:val="p-node"/>
        </w:rPr>
        <w:t xml:space="preserve"> improving</w:t>
      </w:r>
      <w:r w:rsidRPr="00240957">
        <w:rPr>
          <w:rStyle w:val="p-node"/>
        </w:rPr>
        <w:t xml:space="preserve"> haricot bean yield </w:t>
      </w:r>
      <w:r>
        <w:rPr>
          <w:rStyle w:val="p-node"/>
        </w:rPr>
        <w:t>and nutrient availability on Nitisols of</w:t>
      </w:r>
      <w:r w:rsidRPr="00240957">
        <w:rPr>
          <w:rStyle w:val="p-node"/>
        </w:rPr>
        <w:t xml:space="preserve"> </w:t>
      </w:r>
      <w:r>
        <w:rPr>
          <w:rStyle w:val="p-node"/>
        </w:rPr>
        <w:t xml:space="preserve">the </w:t>
      </w:r>
      <w:r w:rsidRPr="00240957">
        <w:rPr>
          <w:rStyle w:val="p-node"/>
        </w:rPr>
        <w:t>eastern Ethiopia</w:t>
      </w:r>
      <w:r>
        <w:rPr>
          <w:rStyle w:val="p-node"/>
        </w:rPr>
        <w:t>n highlands</w:t>
      </w:r>
      <w:r w:rsidRPr="00240957">
        <w:rPr>
          <w:rStyle w:val="p-node"/>
        </w:rPr>
        <w:t xml:space="preserve">. Nine treatment combinations of manure and TSP were tested </w:t>
      </w:r>
      <w:r>
        <w:rPr>
          <w:rStyle w:val="p-node"/>
        </w:rPr>
        <w:t xml:space="preserve">on a randomized complete block design </w:t>
      </w:r>
      <w:r w:rsidRPr="00240957">
        <w:rPr>
          <w:rStyle w:val="p-node"/>
        </w:rPr>
        <w:t xml:space="preserve">with three replications. </w:t>
      </w:r>
      <w:r>
        <w:rPr>
          <w:rStyle w:val="p-node"/>
        </w:rPr>
        <w:t>The results showed</w:t>
      </w:r>
      <w:r w:rsidRPr="00240957">
        <w:rPr>
          <w:rStyle w:val="p-node"/>
        </w:rPr>
        <w:t xml:space="preserve"> highest </w:t>
      </w:r>
      <w:r>
        <w:rPr>
          <w:rStyle w:val="p-node"/>
        </w:rPr>
        <w:t>pods (38 vs 32 over the control) and effective nodules (221) per plant when applying 5</w:t>
      </w:r>
      <w:r w:rsidRPr="00240957">
        <w:rPr>
          <w:rStyle w:val="p-node"/>
        </w:rPr>
        <w:t>tha</w:t>
      </w:r>
      <w:r w:rsidRPr="0032508B">
        <w:rPr>
          <w:rStyle w:val="p-node"/>
          <w:vertAlign w:val="superscript"/>
        </w:rPr>
        <w:t>-1</w:t>
      </w:r>
      <w:r>
        <w:rPr>
          <w:rStyle w:val="p-node"/>
        </w:rPr>
        <w:t xml:space="preserve"> m</w:t>
      </w:r>
      <w:r w:rsidRPr="00240957">
        <w:rPr>
          <w:rStyle w:val="p-node"/>
        </w:rPr>
        <w:t>anure</w:t>
      </w:r>
      <w:r>
        <w:rPr>
          <w:rStyle w:val="p-node"/>
        </w:rPr>
        <w:t xml:space="preserve"> and 100</w:t>
      </w:r>
      <w:r w:rsidRPr="00240957">
        <w:rPr>
          <w:rStyle w:val="p-node"/>
        </w:rPr>
        <w:t>kgT</w:t>
      </w:r>
      <w:r>
        <w:rPr>
          <w:rStyle w:val="p-node"/>
        </w:rPr>
        <w:t>SP</w:t>
      </w:r>
      <w:r w:rsidRPr="00240957">
        <w:rPr>
          <w:rStyle w:val="p-node"/>
        </w:rPr>
        <w:t xml:space="preserve">. </w:t>
      </w:r>
      <w:r>
        <w:rPr>
          <w:rStyle w:val="p-node"/>
        </w:rPr>
        <w:t>Haricot bean yield doubled</w:t>
      </w:r>
      <w:r w:rsidRPr="00240957">
        <w:rPr>
          <w:rStyle w:val="p-node"/>
        </w:rPr>
        <w:t xml:space="preserve"> </w:t>
      </w:r>
      <w:r>
        <w:rPr>
          <w:rStyle w:val="p-node"/>
        </w:rPr>
        <w:t>(3.4t</w:t>
      </w:r>
      <w:r w:rsidRPr="00240957">
        <w:rPr>
          <w:rStyle w:val="p-node"/>
        </w:rPr>
        <w:t>ha</w:t>
      </w:r>
      <w:r w:rsidRPr="00240957">
        <w:rPr>
          <w:rStyle w:val="p-node"/>
          <w:vertAlign w:val="superscript"/>
        </w:rPr>
        <w:t>-1</w:t>
      </w:r>
      <w:r>
        <w:rPr>
          <w:rStyle w:val="p-node"/>
        </w:rPr>
        <w:t xml:space="preserve"> vs 1.6t</w:t>
      </w:r>
      <w:r w:rsidRPr="00240957">
        <w:rPr>
          <w:rStyle w:val="p-node"/>
        </w:rPr>
        <w:t>ha</w:t>
      </w:r>
      <w:r w:rsidRPr="00240957">
        <w:rPr>
          <w:rStyle w:val="p-node"/>
          <w:vertAlign w:val="superscript"/>
        </w:rPr>
        <w:t>-1</w:t>
      </w:r>
      <w:r>
        <w:rPr>
          <w:rStyle w:val="p-node"/>
        </w:rPr>
        <w:t xml:space="preserve"> </w:t>
      </w:r>
      <w:r w:rsidRPr="00240957">
        <w:rPr>
          <w:rStyle w:val="p-node"/>
        </w:rPr>
        <w:t>on the control)</w:t>
      </w:r>
      <w:r>
        <w:rPr>
          <w:rStyle w:val="p-node"/>
        </w:rPr>
        <w:t xml:space="preserve"> when 5</w:t>
      </w:r>
      <w:r w:rsidRPr="00240957">
        <w:rPr>
          <w:rStyle w:val="p-node"/>
        </w:rPr>
        <w:t>tha</w:t>
      </w:r>
      <w:r w:rsidRPr="0032508B">
        <w:rPr>
          <w:rStyle w:val="p-node"/>
          <w:vertAlign w:val="superscript"/>
        </w:rPr>
        <w:t>-1</w:t>
      </w:r>
      <w:r>
        <w:rPr>
          <w:rStyle w:val="p-node"/>
        </w:rPr>
        <w:t xml:space="preserve"> m</w:t>
      </w:r>
      <w:r w:rsidRPr="00240957">
        <w:rPr>
          <w:rStyle w:val="p-node"/>
        </w:rPr>
        <w:t xml:space="preserve">anure </w:t>
      </w:r>
      <w:r>
        <w:rPr>
          <w:rStyle w:val="p-node"/>
        </w:rPr>
        <w:t>and 100</w:t>
      </w:r>
      <w:r w:rsidRPr="00240957">
        <w:rPr>
          <w:rStyle w:val="p-node"/>
        </w:rPr>
        <w:t>kg</w:t>
      </w:r>
      <w:r>
        <w:rPr>
          <w:rStyle w:val="p-node"/>
        </w:rPr>
        <w:t>ha</w:t>
      </w:r>
      <w:r w:rsidRPr="0032508B">
        <w:rPr>
          <w:rStyle w:val="p-node"/>
          <w:vertAlign w:val="superscript"/>
        </w:rPr>
        <w:t>-1</w:t>
      </w:r>
      <w:r w:rsidRPr="00240957">
        <w:rPr>
          <w:rStyle w:val="p-node"/>
        </w:rPr>
        <w:t xml:space="preserve"> TSP</w:t>
      </w:r>
      <w:r>
        <w:rPr>
          <w:rStyle w:val="p-node"/>
        </w:rPr>
        <w:t xml:space="preserve"> was applied</w:t>
      </w:r>
      <w:r w:rsidRPr="00240957">
        <w:rPr>
          <w:rStyle w:val="p-node"/>
        </w:rPr>
        <w:t xml:space="preserve">. Moreover, available phosphorus </w:t>
      </w:r>
      <w:r>
        <w:rPr>
          <w:rStyle w:val="p-node"/>
        </w:rPr>
        <w:t>was improved from 7</w:t>
      </w:r>
      <w:r w:rsidRPr="00240957">
        <w:rPr>
          <w:rStyle w:val="p-node"/>
        </w:rPr>
        <w:t>mgkg</w:t>
      </w:r>
      <w:r w:rsidRPr="00240957">
        <w:rPr>
          <w:rStyle w:val="p-node"/>
          <w:vertAlign w:val="superscript"/>
        </w:rPr>
        <w:t>-1</w:t>
      </w:r>
      <w:r>
        <w:rPr>
          <w:rStyle w:val="p-node"/>
        </w:rPr>
        <w:t xml:space="preserve"> to 16</w:t>
      </w:r>
      <w:r w:rsidRPr="00240957">
        <w:rPr>
          <w:rStyle w:val="p-node"/>
        </w:rPr>
        <w:t>mgkg</w:t>
      </w:r>
      <w:r w:rsidRPr="00240957">
        <w:rPr>
          <w:rStyle w:val="p-node"/>
          <w:vertAlign w:val="superscript"/>
        </w:rPr>
        <w:t>-1</w:t>
      </w:r>
      <w:r>
        <w:rPr>
          <w:rStyle w:val="p-node"/>
        </w:rPr>
        <w:t xml:space="preserve"> on plots that received 5t</w:t>
      </w:r>
      <w:r w:rsidRPr="00240957">
        <w:rPr>
          <w:rStyle w:val="p-node"/>
        </w:rPr>
        <w:t>ha</w:t>
      </w:r>
      <w:r w:rsidRPr="00240957">
        <w:rPr>
          <w:rStyle w:val="p-node"/>
          <w:vertAlign w:val="superscript"/>
        </w:rPr>
        <w:t>-1</w:t>
      </w:r>
      <w:r w:rsidRPr="00240957">
        <w:rPr>
          <w:rStyle w:val="p-node"/>
        </w:rPr>
        <w:t xml:space="preserve"> manure</w:t>
      </w:r>
      <w:r>
        <w:rPr>
          <w:rStyle w:val="p-node"/>
        </w:rPr>
        <w:t xml:space="preserve"> and 100kg</w:t>
      </w:r>
      <w:r w:rsidRPr="00240957">
        <w:rPr>
          <w:rStyle w:val="p-node"/>
        </w:rPr>
        <w:t>ha</w:t>
      </w:r>
      <w:r w:rsidRPr="00240957">
        <w:rPr>
          <w:rStyle w:val="p-node"/>
          <w:vertAlign w:val="superscript"/>
        </w:rPr>
        <w:t>-1</w:t>
      </w:r>
      <w:r w:rsidRPr="00240957">
        <w:rPr>
          <w:rStyle w:val="p-node"/>
        </w:rPr>
        <w:t xml:space="preserve"> TSP. </w:t>
      </w:r>
      <w:r>
        <w:rPr>
          <w:rStyle w:val="p-node"/>
        </w:rPr>
        <w:t>Applying manure improved organic</w:t>
      </w:r>
      <w:r w:rsidRPr="00240957">
        <w:rPr>
          <w:rStyle w:val="p-node"/>
        </w:rPr>
        <w:t xml:space="preserve"> carbon</w:t>
      </w:r>
      <w:r>
        <w:rPr>
          <w:rStyle w:val="p-node"/>
        </w:rPr>
        <w:t xml:space="preserve"> content (2.2 vs 1.5), total nitrogen (0.34 vs 0.28) sulfur (33 vs 25m</w:t>
      </w:r>
      <w:r w:rsidRPr="00240957">
        <w:rPr>
          <w:rStyle w:val="p-node"/>
        </w:rPr>
        <w:t>gkg</w:t>
      </w:r>
      <w:r w:rsidRPr="00240957">
        <w:rPr>
          <w:rStyle w:val="p-node"/>
          <w:vertAlign w:val="superscript"/>
        </w:rPr>
        <w:t>-1</w:t>
      </w:r>
      <w:r w:rsidRPr="00240957">
        <w:rPr>
          <w:rStyle w:val="p-node"/>
        </w:rPr>
        <w:t>)</w:t>
      </w:r>
      <w:r>
        <w:rPr>
          <w:rStyle w:val="p-node"/>
        </w:rPr>
        <w:t xml:space="preserve">, </w:t>
      </w:r>
      <w:r w:rsidRPr="00240957">
        <w:rPr>
          <w:rStyle w:val="p-node"/>
        </w:rPr>
        <w:t xml:space="preserve">available potassium </w:t>
      </w:r>
      <w:r>
        <w:rPr>
          <w:rStyle w:val="p-node"/>
        </w:rPr>
        <w:t>(421 vs 209</w:t>
      </w:r>
      <w:r w:rsidRPr="00240957">
        <w:rPr>
          <w:rStyle w:val="p-node"/>
        </w:rPr>
        <w:t>gkg</w:t>
      </w:r>
      <w:r w:rsidRPr="00240957">
        <w:rPr>
          <w:rStyle w:val="p-node"/>
          <w:vertAlign w:val="superscript"/>
        </w:rPr>
        <w:t>-1</w:t>
      </w:r>
      <w:r w:rsidRPr="00240957">
        <w:rPr>
          <w:rStyle w:val="p-node"/>
        </w:rPr>
        <w:t>)</w:t>
      </w:r>
      <w:r>
        <w:rPr>
          <w:rStyle w:val="p-node"/>
        </w:rPr>
        <w:t>, e</w:t>
      </w:r>
      <w:r w:rsidRPr="00240957">
        <w:rPr>
          <w:rStyle w:val="p-node"/>
        </w:rPr>
        <w:t>xchangeable calcium (</w:t>
      </w:r>
      <w:r>
        <w:rPr>
          <w:rStyle w:val="p-node"/>
        </w:rPr>
        <w:t>30 vs 25cmol</w:t>
      </w:r>
      <w:r w:rsidRPr="00240957">
        <w:rPr>
          <w:rStyle w:val="p-node"/>
        </w:rPr>
        <w:t>(+)kg</w:t>
      </w:r>
      <w:r w:rsidRPr="00240957">
        <w:rPr>
          <w:rStyle w:val="p-node"/>
          <w:vertAlign w:val="superscript"/>
        </w:rPr>
        <w:t>-1</w:t>
      </w:r>
      <w:r>
        <w:rPr>
          <w:rStyle w:val="p-node"/>
        </w:rPr>
        <w:t xml:space="preserve">), and </w:t>
      </w:r>
      <w:r w:rsidRPr="00240957">
        <w:rPr>
          <w:rStyle w:val="p-node"/>
        </w:rPr>
        <w:t>magnesium (6.3</w:t>
      </w:r>
      <w:r>
        <w:rPr>
          <w:rStyle w:val="p-node"/>
        </w:rPr>
        <w:t xml:space="preserve"> vs 4.7cmol(+)</w:t>
      </w:r>
      <w:r w:rsidRPr="00240957">
        <w:rPr>
          <w:rStyle w:val="p-node"/>
        </w:rPr>
        <w:t>kg</w:t>
      </w:r>
      <w:r w:rsidRPr="00240957">
        <w:rPr>
          <w:rStyle w:val="p-node"/>
          <w:vertAlign w:val="superscript"/>
        </w:rPr>
        <w:t>-1</w:t>
      </w:r>
      <w:r w:rsidRPr="00240957">
        <w:rPr>
          <w:rStyle w:val="p-node"/>
        </w:rPr>
        <w:t xml:space="preserve">) </w:t>
      </w:r>
      <w:r>
        <w:rPr>
          <w:rStyle w:val="p-node"/>
        </w:rPr>
        <w:t xml:space="preserve">compared to control or sole </w:t>
      </w:r>
      <w:r w:rsidRPr="00240957">
        <w:rPr>
          <w:rStyle w:val="p-node"/>
        </w:rPr>
        <w:t>TSP</w:t>
      </w:r>
      <w:r>
        <w:rPr>
          <w:rStyle w:val="p-node"/>
        </w:rPr>
        <w:t xml:space="preserve"> application</w:t>
      </w:r>
      <w:r w:rsidRPr="00240957">
        <w:rPr>
          <w:rStyle w:val="p-node"/>
        </w:rPr>
        <w:t>.</w:t>
      </w:r>
      <w:r>
        <w:rPr>
          <w:rStyle w:val="p-node"/>
        </w:rPr>
        <w:t xml:space="preserve"> Maximum</w:t>
      </w:r>
      <w:r w:rsidRPr="00240957">
        <w:rPr>
          <w:rStyle w:val="p-node"/>
        </w:rPr>
        <w:t xml:space="preserve"> </w:t>
      </w:r>
      <w:r>
        <w:rPr>
          <w:rStyle w:val="p-node"/>
        </w:rPr>
        <w:t>benefit to cost ratio of 9.9 was achieved by applying 7.5</w:t>
      </w:r>
      <w:r w:rsidRPr="00240957">
        <w:rPr>
          <w:rStyle w:val="p-node"/>
        </w:rPr>
        <w:t>tha</w:t>
      </w:r>
      <w:r w:rsidRPr="00240957">
        <w:rPr>
          <w:rStyle w:val="p-node"/>
          <w:vertAlign w:val="superscript"/>
        </w:rPr>
        <w:t>-1</w:t>
      </w:r>
      <w:r w:rsidRPr="00240957">
        <w:rPr>
          <w:rStyle w:val="p-node"/>
        </w:rPr>
        <w:t xml:space="preserve"> manure </w:t>
      </w:r>
      <w:r>
        <w:rPr>
          <w:rStyle w:val="p-node"/>
        </w:rPr>
        <w:t xml:space="preserve">with </w:t>
      </w:r>
      <w:r w:rsidRPr="00240957">
        <w:rPr>
          <w:rStyle w:val="p-node"/>
        </w:rPr>
        <w:t>50kgha</w:t>
      </w:r>
      <w:r w:rsidRPr="00240957">
        <w:rPr>
          <w:rStyle w:val="p-node"/>
          <w:vertAlign w:val="superscript"/>
        </w:rPr>
        <w:t>-1</w:t>
      </w:r>
      <w:r w:rsidRPr="00240957">
        <w:rPr>
          <w:rStyle w:val="p-node"/>
        </w:rPr>
        <w:t xml:space="preserve"> T</w:t>
      </w:r>
      <w:r>
        <w:rPr>
          <w:rStyle w:val="p-node"/>
        </w:rPr>
        <w:t xml:space="preserve">SP. Combined application of manure and mineral phosphorus can </w:t>
      </w:r>
      <w:r w:rsidRPr="00240957">
        <w:rPr>
          <w:rStyle w:val="p-node"/>
        </w:rPr>
        <w:t>double harico</w:t>
      </w:r>
      <w:r>
        <w:rPr>
          <w:rStyle w:val="p-node"/>
        </w:rPr>
        <w:t>t bean yield while improving</w:t>
      </w:r>
      <w:r w:rsidRPr="00240957">
        <w:rPr>
          <w:rStyle w:val="p-node"/>
        </w:rPr>
        <w:t xml:space="preserve"> </w:t>
      </w:r>
      <w:r>
        <w:rPr>
          <w:rStyle w:val="p-node"/>
        </w:rPr>
        <w:t xml:space="preserve">the C:N ratio and </w:t>
      </w:r>
      <w:r w:rsidRPr="00240957">
        <w:rPr>
          <w:rStyle w:val="p-node"/>
        </w:rPr>
        <w:t>nutrient</w:t>
      </w:r>
      <w:r>
        <w:rPr>
          <w:rStyle w:val="p-node"/>
        </w:rPr>
        <w:t xml:space="preserve"> availability</w:t>
      </w:r>
      <w:r w:rsidRPr="00240957">
        <w:rPr>
          <w:rStyle w:val="p-node"/>
        </w:rPr>
        <w:t xml:space="preserve"> of </w:t>
      </w:r>
      <w:r>
        <w:rPr>
          <w:rStyle w:val="p-node"/>
        </w:rPr>
        <w:t>Nitisols found in the Ethiopian and other tropical highlands of Africa</w:t>
      </w:r>
      <w:r w:rsidRPr="00240957">
        <w:rPr>
          <w:rStyle w:val="p-node"/>
        </w:rPr>
        <w:t>.</w:t>
      </w:r>
    </w:p>
    <w:p w:rsidR="00A02B3C" w:rsidRDefault="00A02B3C" w:rsidP="00240957">
      <w:pPr>
        <w:pStyle w:val="BodyText"/>
        <w:spacing w:before="90" w:line="280" w:lineRule="auto"/>
        <w:ind w:left="100"/>
        <w:jc w:val="both"/>
      </w:pPr>
      <w:r w:rsidRPr="00240957">
        <w:t xml:space="preserve">Keywords: </w:t>
      </w:r>
      <w:r>
        <w:t>Manure application, Nitisols, Phosphorus availability, Haricot bean yield, Benefit-c</w:t>
      </w:r>
      <w:r w:rsidRPr="00240957">
        <w:t>ost, Ethiopia</w:t>
      </w:r>
    </w:p>
    <w:tbl>
      <w:tblPr>
        <w:tblW w:w="5564" w:type="dxa"/>
        <w:tblInd w:w="-106" w:type="dxa"/>
        <w:tblLook w:val="01E0"/>
      </w:tblPr>
      <w:tblGrid>
        <w:gridCol w:w="1938"/>
        <w:gridCol w:w="1797"/>
        <w:gridCol w:w="1829"/>
      </w:tblGrid>
      <w:tr w:rsidR="00A02B3C" w:rsidRPr="00EB6A02">
        <w:tc>
          <w:tcPr>
            <w:tcW w:w="1938" w:type="dxa"/>
          </w:tcPr>
          <w:p w:rsidR="00A02B3C" w:rsidRPr="00EB6A02" w:rsidRDefault="00A02B3C" w:rsidP="00EB6A02">
            <w:pPr>
              <w:pStyle w:val="BodyText"/>
              <w:spacing w:before="90" w:line="280" w:lineRule="auto"/>
              <w:jc w:val="center"/>
              <w:rPr>
                <w:noProof/>
                <w:sz w:val="16"/>
                <w:szCs w:val="16"/>
              </w:rPr>
            </w:pPr>
            <w:r w:rsidRPr="000503CC">
              <w:rPr>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77.25pt;height:72.75pt;visibility:visible">
                  <v:imagedata r:id="rId9" o:title=""/>
                </v:shape>
              </w:pict>
            </w:r>
          </w:p>
          <w:p w:rsidR="00A02B3C" w:rsidRPr="00EB6A02" w:rsidRDefault="00A02B3C" w:rsidP="00EB6A02">
            <w:pPr>
              <w:pStyle w:val="BodyText"/>
              <w:spacing w:before="90" w:line="280" w:lineRule="auto"/>
              <w:jc w:val="center"/>
              <w:rPr>
                <w:noProof/>
                <w:sz w:val="16"/>
                <w:szCs w:val="16"/>
              </w:rPr>
            </w:pPr>
            <w:r w:rsidRPr="00EB6A02">
              <w:rPr>
                <w:noProof/>
                <w:sz w:val="16"/>
                <w:szCs w:val="16"/>
              </w:rPr>
              <w:t>(a)</w:t>
            </w:r>
          </w:p>
        </w:tc>
        <w:tc>
          <w:tcPr>
            <w:tcW w:w="1797" w:type="dxa"/>
          </w:tcPr>
          <w:p w:rsidR="00A02B3C" w:rsidRPr="00EB6A02" w:rsidRDefault="00A02B3C" w:rsidP="00EB6A02">
            <w:pPr>
              <w:pStyle w:val="BodyText"/>
              <w:spacing w:before="90" w:line="280" w:lineRule="auto"/>
              <w:jc w:val="center"/>
              <w:rPr>
                <w:noProof/>
                <w:sz w:val="16"/>
                <w:szCs w:val="16"/>
              </w:rPr>
            </w:pPr>
            <w:r w:rsidRPr="000503CC">
              <w:rPr>
                <w:noProof/>
                <w:sz w:val="16"/>
                <w:szCs w:val="16"/>
              </w:rPr>
              <w:pict>
                <v:shape id="Picture 21" o:spid="_x0000_i1026" type="#_x0000_t75" style="width:78.75pt;height:73.5pt;visibility:visible">
                  <v:imagedata r:id="rId10" o:title=""/>
                </v:shape>
              </w:pict>
            </w:r>
          </w:p>
          <w:p w:rsidR="00A02B3C" w:rsidRPr="00EB6A02" w:rsidRDefault="00A02B3C" w:rsidP="00EB6A02">
            <w:pPr>
              <w:pStyle w:val="BodyText"/>
              <w:spacing w:before="90" w:line="280" w:lineRule="auto"/>
              <w:jc w:val="center"/>
              <w:rPr>
                <w:noProof/>
                <w:sz w:val="16"/>
                <w:szCs w:val="16"/>
              </w:rPr>
            </w:pPr>
            <w:r w:rsidRPr="00EB6A02">
              <w:rPr>
                <w:noProof/>
                <w:sz w:val="16"/>
                <w:szCs w:val="16"/>
              </w:rPr>
              <w:t>(b)</w:t>
            </w:r>
          </w:p>
        </w:tc>
        <w:tc>
          <w:tcPr>
            <w:tcW w:w="1829" w:type="dxa"/>
          </w:tcPr>
          <w:p w:rsidR="00A02B3C" w:rsidRPr="00EB6A02" w:rsidRDefault="00A02B3C" w:rsidP="00EB6A02">
            <w:pPr>
              <w:pStyle w:val="BodyText"/>
              <w:spacing w:before="90" w:line="280" w:lineRule="auto"/>
              <w:jc w:val="center"/>
              <w:rPr>
                <w:noProof/>
                <w:sz w:val="16"/>
                <w:szCs w:val="16"/>
              </w:rPr>
            </w:pPr>
            <w:r w:rsidRPr="000503CC">
              <w:rPr>
                <w:noProof/>
                <w:sz w:val="16"/>
                <w:szCs w:val="16"/>
              </w:rPr>
              <w:pict>
                <v:shape id="Picture 18" o:spid="_x0000_i1027" type="#_x0000_t75" style="width:78.75pt;height:1in;visibility:visible">
                  <v:imagedata r:id="rId11" o:title=""/>
                </v:shape>
              </w:pict>
            </w:r>
          </w:p>
          <w:p w:rsidR="00A02B3C" w:rsidRPr="00EB6A02" w:rsidRDefault="00A02B3C" w:rsidP="00EB6A02">
            <w:pPr>
              <w:pStyle w:val="BodyText"/>
              <w:spacing w:before="90" w:line="280" w:lineRule="auto"/>
              <w:jc w:val="center"/>
              <w:rPr>
                <w:sz w:val="16"/>
                <w:szCs w:val="16"/>
              </w:rPr>
            </w:pPr>
            <w:r w:rsidRPr="00EB6A02">
              <w:rPr>
                <w:noProof/>
                <w:sz w:val="16"/>
                <w:szCs w:val="16"/>
              </w:rPr>
              <w:t>(c)</w:t>
            </w:r>
          </w:p>
        </w:tc>
      </w:tr>
    </w:tbl>
    <w:p w:rsidR="00A02B3C" w:rsidRDefault="00A02B3C" w:rsidP="00240957">
      <w:pPr>
        <w:pStyle w:val="BodyText"/>
        <w:spacing w:before="90" w:line="280" w:lineRule="auto"/>
        <w:ind w:left="100"/>
        <w:jc w:val="both"/>
      </w:pPr>
      <w:r>
        <w:t>Figure 1 Experimental layout (a), effective nodules per plant of haricot bean on the control plot (b), and effective nodules per plant of haricot bean when applying 5tha</w:t>
      </w:r>
      <w:r w:rsidRPr="002204C9">
        <w:rPr>
          <w:vertAlign w:val="superscript"/>
        </w:rPr>
        <w:t>-1</w:t>
      </w:r>
      <w:r>
        <w:t xml:space="preserve"> and 100kgha</w:t>
      </w:r>
      <w:r w:rsidRPr="002204C9">
        <w:rPr>
          <w:vertAlign w:val="superscript"/>
        </w:rPr>
        <w:t>-1</w:t>
      </w:r>
      <w:r>
        <w:t xml:space="preserve"> TSP in the eastern Ethiopian highlands.</w:t>
      </w:r>
    </w:p>
    <w:p w:rsidR="00A02B3C" w:rsidRPr="00240957" w:rsidRDefault="00A02B3C" w:rsidP="00240957">
      <w:pPr>
        <w:pStyle w:val="BodyText"/>
        <w:spacing w:before="90" w:line="280" w:lineRule="auto"/>
        <w:ind w:left="100"/>
        <w:jc w:val="both"/>
      </w:pPr>
    </w:p>
    <w:p w:rsidR="00A02B3C" w:rsidRDefault="00A02B3C" w:rsidP="005973B9">
      <w:pPr>
        <w:spacing w:line="204" w:lineRule="exact"/>
        <w:rPr>
          <w:rFonts w:ascii="Arial"/>
          <w:b/>
          <w:bCs/>
          <w:sz w:val="20"/>
          <w:szCs w:val="20"/>
        </w:rPr>
      </w:pPr>
      <w:r>
        <w:rPr>
          <w:rFonts w:ascii="Arial" w:eastAsia="Times New Roman" w:cs="Arial"/>
          <w:b/>
          <w:bCs/>
          <w:color w:val="BF5A14"/>
          <w:sz w:val="20"/>
          <w:szCs w:val="20"/>
        </w:rPr>
        <w:t>Recent Publications</w:t>
      </w:r>
    </w:p>
    <w:p w:rsidR="00A02B3C" w:rsidRPr="008111CC" w:rsidRDefault="00A02B3C" w:rsidP="0077383E">
      <w:pPr>
        <w:widowControl/>
        <w:numPr>
          <w:ilvl w:val="0"/>
          <w:numId w:val="3"/>
        </w:numPr>
        <w:jc w:val="both"/>
        <w:rPr>
          <w:sz w:val="18"/>
          <w:szCs w:val="18"/>
          <w:shd w:val="clear" w:color="auto" w:fill="FFFFFF"/>
        </w:rPr>
      </w:pPr>
      <w:r w:rsidRPr="008111CC">
        <w:rPr>
          <w:sz w:val="18"/>
          <w:szCs w:val="18"/>
          <w:shd w:val="clear" w:color="auto" w:fill="FFFFFF"/>
        </w:rPr>
        <w:t xml:space="preserve">Alhrout, H. H., Aldalin, H. K. H., Haddad, M. A., Bani-Hani, N. M., &amp; Al-Dalein, S. Y., 2016. The impact of organic and inorganic fertilizer on yield and yield components of common bean (Phaseolus vulgaris). </w:t>
      </w:r>
      <w:r w:rsidRPr="008111CC">
        <w:rPr>
          <w:i/>
          <w:iCs/>
          <w:sz w:val="18"/>
          <w:szCs w:val="18"/>
          <w:shd w:val="clear" w:color="auto" w:fill="FFFFFF"/>
        </w:rPr>
        <w:t>Advances in Environmental Biology</w:t>
      </w:r>
      <w:r w:rsidRPr="008111CC">
        <w:rPr>
          <w:sz w:val="18"/>
          <w:szCs w:val="18"/>
          <w:shd w:val="clear" w:color="auto" w:fill="FFFFFF"/>
        </w:rPr>
        <w:t>, 10(9): 8-14.</w:t>
      </w:r>
    </w:p>
    <w:p w:rsidR="00A02B3C" w:rsidRPr="008111CC" w:rsidRDefault="00A02B3C" w:rsidP="0077383E">
      <w:pPr>
        <w:widowControl/>
        <w:numPr>
          <w:ilvl w:val="0"/>
          <w:numId w:val="3"/>
        </w:numPr>
        <w:jc w:val="both"/>
        <w:rPr>
          <w:sz w:val="18"/>
          <w:szCs w:val="18"/>
          <w:shd w:val="clear" w:color="auto" w:fill="FFFFFF"/>
        </w:rPr>
      </w:pPr>
      <w:r w:rsidRPr="008111CC">
        <w:rPr>
          <w:sz w:val="18"/>
          <w:szCs w:val="18"/>
          <w:shd w:val="clear" w:color="auto" w:fill="FFFFFF"/>
        </w:rPr>
        <w:t>Tesfaye Dejene, Tamado Tana and Elias Urage., 2016. Response of common bean (Phaseolus vulgaris l.) to application of lime and phosphorus on acidic soil of Areka, southern Ethiopia.</w:t>
      </w:r>
      <w:r>
        <w:rPr>
          <w:sz w:val="18"/>
          <w:szCs w:val="18"/>
          <w:shd w:val="clear" w:color="auto" w:fill="FFFFFF"/>
        </w:rPr>
        <w:t xml:space="preserve"> </w:t>
      </w:r>
      <w:r w:rsidRPr="008111CC">
        <w:rPr>
          <w:i/>
          <w:iCs/>
          <w:sz w:val="18"/>
          <w:szCs w:val="18"/>
          <w:shd w:val="clear" w:color="auto" w:fill="FFFFFF"/>
        </w:rPr>
        <w:t>Journal of Natural Sciences Research</w:t>
      </w:r>
      <w:r w:rsidRPr="008111CC">
        <w:rPr>
          <w:sz w:val="18"/>
          <w:szCs w:val="18"/>
          <w:shd w:val="clear" w:color="auto" w:fill="FFFFFF"/>
        </w:rPr>
        <w:t>, 6 (19):2224-3186</w:t>
      </w:r>
    </w:p>
    <w:p w:rsidR="00A02B3C" w:rsidRPr="008111CC" w:rsidRDefault="00A02B3C" w:rsidP="0077383E">
      <w:pPr>
        <w:widowControl/>
        <w:numPr>
          <w:ilvl w:val="0"/>
          <w:numId w:val="3"/>
        </w:numPr>
        <w:jc w:val="both"/>
        <w:rPr>
          <w:sz w:val="18"/>
          <w:szCs w:val="18"/>
          <w:shd w:val="clear" w:color="auto" w:fill="FFFFFF"/>
        </w:rPr>
      </w:pPr>
      <w:r w:rsidRPr="008111CC">
        <w:rPr>
          <w:sz w:val="18"/>
          <w:szCs w:val="18"/>
          <w:shd w:val="clear" w:color="auto" w:fill="FFFFFF"/>
        </w:rPr>
        <w:t xml:space="preserve">Walelign Worku., 2014. Sequential intercropping of common bean and mung bean with maize in Southern, Ethiopia. </w:t>
      </w:r>
      <w:r w:rsidRPr="008111CC">
        <w:rPr>
          <w:i/>
          <w:iCs/>
          <w:sz w:val="18"/>
          <w:szCs w:val="18"/>
          <w:shd w:val="clear" w:color="auto" w:fill="FFFFFF"/>
        </w:rPr>
        <w:t>Experimental agriculture</w:t>
      </w:r>
      <w:r w:rsidRPr="008111CC">
        <w:rPr>
          <w:sz w:val="18"/>
          <w:szCs w:val="18"/>
          <w:shd w:val="clear" w:color="auto" w:fill="FFFFFF"/>
        </w:rPr>
        <w:t>, 50(1): 90-108.</w:t>
      </w:r>
    </w:p>
    <w:p w:rsidR="00A02B3C" w:rsidRPr="008111CC" w:rsidRDefault="00A02B3C" w:rsidP="0077383E">
      <w:pPr>
        <w:widowControl/>
        <w:numPr>
          <w:ilvl w:val="0"/>
          <w:numId w:val="3"/>
        </w:numPr>
        <w:jc w:val="both"/>
        <w:rPr>
          <w:sz w:val="18"/>
          <w:szCs w:val="18"/>
          <w:shd w:val="clear" w:color="auto" w:fill="FFFFFF"/>
        </w:rPr>
      </w:pPr>
      <w:r w:rsidRPr="008111CC">
        <w:rPr>
          <w:sz w:val="18"/>
          <w:szCs w:val="18"/>
          <w:shd w:val="clear" w:color="auto" w:fill="FFFFFF"/>
        </w:rPr>
        <w:t xml:space="preserve">Wondwosen Wondimu &amp; Tamado Tana., 2017. Yield response of Common bean (Phaseolus vulgaris L.) Varieties to combined application of Nitrogen and Phosphorus fertilizers at Mechara, Eastern Ethiopia. </w:t>
      </w:r>
      <w:r>
        <w:rPr>
          <w:i/>
          <w:iCs/>
          <w:sz w:val="18"/>
          <w:szCs w:val="18"/>
          <w:shd w:val="clear" w:color="auto" w:fill="FFFFFF"/>
        </w:rPr>
        <w:t>Journal Plant Biology &amp;</w:t>
      </w:r>
      <w:r w:rsidRPr="008111CC">
        <w:rPr>
          <w:i/>
          <w:iCs/>
          <w:sz w:val="18"/>
          <w:szCs w:val="18"/>
          <w:shd w:val="clear" w:color="auto" w:fill="FFFFFF"/>
        </w:rPr>
        <w:t xml:space="preserve"> Soil Health</w:t>
      </w:r>
      <w:r w:rsidRPr="008111CC">
        <w:rPr>
          <w:sz w:val="18"/>
          <w:szCs w:val="18"/>
          <w:shd w:val="clear" w:color="auto" w:fill="FFFFFF"/>
        </w:rPr>
        <w:t>, 4(2): 7.</w:t>
      </w:r>
    </w:p>
    <w:p w:rsidR="00A02B3C" w:rsidRPr="008111CC" w:rsidRDefault="00A02B3C" w:rsidP="0077383E">
      <w:pPr>
        <w:widowControl/>
        <w:numPr>
          <w:ilvl w:val="0"/>
          <w:numId w:val="3"/>
        </w:numPr>
        <w:jc w:val="both"/>
        <w:rPr>
          <w:sz w:val="18"/>
          <w:szCs w:val="18"/>
          <w:shd w:val="clear" w:color="auto" w:fill="FFFFFF"/>
        </w:rPr>
      </w:pPr>
      <w:r w:rsidRPr="008111CC">
        <w:rPr>
          <w:sz w:val="18"/>
          <w:szCs w:val="18"/>
          <w:shd w:val="clear" w:color="auto" w:fill="FFFFFF"/>
        </w:rPr>
        <w:t xml:space="preserve">Wondwosen Wondimu, Abebe Bogale, and Tsegaye Babege., 2018. Evaluation of varietal responses for growth, yield and yield components of haricot bean (Phaseolus vulgaris L.) in two districts at Bench-Maji Zone, South west Ethiopia. </w:t>
      </w:r>
      <w:r w:rsidRPr="008111CC">
        <w:rPr>
          <w:i/>
          <w:iCs/>
          <w:sz w:val="18"/>
          <w:szCs w:val="18"/>
          <w:shd w:val="clear" w:color="auto" w:fill="FFFFFF"/>
        </w:rPr>
        <w:t>African Journal of Plant Science</w:t>
      </w:r>
      <w:r w:rsidRPr="008111CC">
        <w:rPr>
          <w:sz w:val="18"/>
          <w:szCs w:val="18"/>
          <w:shd w:val="clear" w:color="auto" w:fill="FFFFFF"/>
        </w:rPr>
        <w:t>.12 (1): 1-6.</w:t>
      </w:r>
    </w:p>
    <w:p w:rsidR="00A02B3C" w:rsidRPr="008756E6" w:rsidRDefault="00A02B3C" w:rsidP="008756E6">
      <w:pPr>
        <w:tabs>
          <w:tab w:val="left" w:pos="384"/>
        </w:tabs>
        <w:ind w:right="117"/>
      </w:pPr>
    </w:p>
    <w:p w:rsidR="00A02B3C" w:rsidRDefault="00A02B3C">
      <w:pPr>
        <w:spacing w:line="200" w:lineRule="exact"/>
        <w:jc w:val="both"/>
        <w:rPr>
          <w:rFonts w:ascii="Calibri" w:hAnsi="Calibri" w:cs="Calibri"/>
        </w:rPr>
        <w:sectPr w:rsidR="00A02B3C">
          <w:type w:val="continuous"/>
          <w:pgSz w:w="11910" w:h="16840"/>
          <w:pgMar w:top="1740" w:right="600" w:bottom="840" w:left="620" w:header="720" w:footer="720" w:gutter="0"/>
          <w:cols w:num="2" w:space="720" w:equalWidth="0">
            <w:col w:w="5214" w:space="138"/>
            <w:col w:w="5338"/>
          </w:cols>
        </w:sectPr>
      </w:pPr>
    </w:p>
    <w:p w:rsidR="00A02B3C" w:rsidRDefault="00A02B3C">
      <w:pPr>
        <w:pStyle w:val="BodyText"/>
        <w:rPr>
          <w:rFonts w:ascii="Calibri"/>
          <w:sz w:val="20"/>
          <w:szCs w:val="20"/>
        </w:rPr>
      </w:pPr>
    </w:p>
    <w:p w:rsidR="00A02B3C" w:rsidRDefault="00A02B3C">
      <w:pPr>
        <w:pStyle w:val="BodyText"/>
        <w:spacing w:line="40" w:lineRule="exact"/>
        <w:ind w:left="2202"/>
        <w:rPr>
          <w:rFonts w:ascii="Calibri"/>
          <w:sz w:val="4"/>
          <w:szCs w:val="4"/>
        </w:rPr>
      </w:pPr>
      <w:r>
        <w:rPr>
          <w:noProof/>
        </w:rPr>
      </w:r>
      <w:r w:rsidRPr="000503CC">
        <w:rPr>
          <w:rFonts w:ascii="Calibri"/>
          <w:noProof/>
          <w:sz w:val="4"/>
          <w:szCs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A02B3C" w:rsidRDefault="00A02B3C" w:rsidP="00404E5B">
      <w:pPr>
        <w:spacing w:before="92"/>
        <w:ind w:right="4234"/>
        <w:rPr>
          <w:rFonts w:ascii="Arial"/>
        </w:rPr>
      </w:pPr>
      <w:r>
        <w:rPr>
          <w:noProof/>
        </w:rPr>
        <w:pict>
          <v:shape id="Picture 5" o:spid="_x0000_i1029" type="#_x0000_t75" alt="dummy" style="width:49.5pt;height:48.75pt;visibility:visible">
            <v:imagedata r:id="rId12" o:title=""/>
          </v:shape>
        </w:pict>
      </w:r>
      <w:r>
        <w:rPr>
          <w:rFonts w:ascii="Arial" w:eastAsia="Times New Roman" w:cs="Arial"/>
          <w:color w:val="BF5A14"/>
        </w:rPr>
        <w:t>Biography</w:t>
      </w:r>
    </w:p>
    <w:p w:rsidR="00A02B3C" w:rsidRDefault="00A02B3C">
      <w:pPr>
        <w:spacing w:before="41" w:line="154" w:lineRule="exact"/>
        <w:ind w:left="213" w:right="231"/>
        <w:jc w:val="both"/>
        <w:rPr>
          <w:rFonts w:ascii="Arial"/>
          <w:sz w:val="14"/>
          <w:szCs w:val="14"/>
        </w:rPr>
      </w:pPr>
      <w:r>
        <w:rPr>
          <w:rFonts w:ascii="Arial" w:eastAsia="Times New Roman" w:cs="Arial"/>
          <w:sz w:val="14"/>
          <w:szCs w:val="14"/>
        </w:rPr>
        <w:t>Gebreyohannes Girmay has his expertise in soil fertility management systems focusing on exploring techniques for improving soil quality and health. He teaches and advices post graduate students in the soil science, dryland ecology and resource management, dryland agronomy, sustainable watershed management, and dryland agroforestry and land restoration programmes in Mekelle University, Ethiopia. His current research activities focus on integrated soil fertility management, carbon sequestration in soils, reservoir conservation and sediment use, and land evaluation for irrigation.</w:t>
      </w:r>
    </w:p>
    <w:p w:rsidR="00A02B3C" w:rsidRDefault="00A02B3C">
      <w:pPr>
        <w:spacing w:before="62"/>
        <w:ind w:left="4217" w:right="4235"/>
        <w:jc w:val="center"/>
        <w:rPr>
          <w:rFonts w:ascii="Arial"/>
          <w:sz w:val="14"/>
          <w:szCs w:val="14"/>
        </w:rPr>
      </w:pPr>
      <w:r>
        <w:rPr>
          <w:rFonts w:ascii="Arial" w:eastAsia="Times New Roman" w:cs="Arial"/>
          <w:sz w:val="14"/>
          <w:szCs w:val="14"/>
        </w:rPr>
        <w:t xml:space="preserve">Email: </w:t>
      </w:r>
      <w:hyperlink r:id="rId13" w:history="1">
        <w:r w:rsidRPr="00A15C09">
          <w:rPr>
            <w:rStyle w:val="Hyperlink"/>
            <w:rFonts w:ascii="Arial" w:eastAsia="Times New Roman" w:cs="Arial"/>
            <w:sz w:val="14"/>
            <w:szCs w:val="14"/>
          </w:rPr>
          <w:t>gebreyohannes.girmay@gmail.com</w:t>
        </w:r>
      </w:hyperlink>
    </w:p>
    <w:p w:rsidR="00A02B3C" w:rsidRDefault="00A02B3C">
      <w:pPr>
        <w:pStyle w:val="BodyText"/>
        <w:spacing w:before="2"/>
        <w:rPr>
          <w:rFonts w:ascii="Arial"/>
          <w:sz w:val="19"/>
          <w:szCs w:val="19"/>
        </w:rPr>
      </w:pPr>
      <w:r>
        <w:rPr>
          <w:noProof/>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A02B3C" w:rsidRPr="00B21A57" w:rsidRDefault="00A02B3C">
      <w:pPr>
        <w:spacing w:before="39"/>
        <w:ind w:left="100"/>
        <w:rPr>
          <w:rFonts w:ascii="Minion Pro" w:eastAsia="Times New Roman" w:cs="Minion Pro"/>
          <w:b/>
          <w:bCs/>
          <w:sz w:val="20"/>
          <w:szCs w:val="20"/>
        </w:rPr>
      </w:pPr>
      <w:r w:rsidRPr="00B21A57">
        <w:rPr>
          <w:rFonts w:ascii="Minion Pro" w:eastAsia="Times New Roman" w:cs="Minion Pro"/>
          <w:b/>
          <w:bCs/>
          <w:sz w:val="20"/>
          <w:szCs w:val="20"/>
        </w:rPr>
        <w:t>Notes/Comments:</w:t>
      </w:r>
    </w:p>
    <w:p w:rsidR="00A02B3C" w:rsidRDefault="00A02B3C">
      <w:pPr>
        <w:rPr>
          <w:rFonts w:ascii="Minion Pro"/>
          <w:sz w:val="24"/>
          <w:szCs w:val="24"/>
        </w:rPr>
        <w:sectPr w:rsidR="00A02B3C">
          <w:type w:val="continuous"/>
          <w:pgSz w:w="11910" w:h="16840"/>
          <w:pgMar w:top="1740" w:right="600" w:bottom="840" w:left="620" w:header="720" w:footer="720" w:gutter="0"/>
          <w:cols w:space="720"/>
        </w:sectPr>
      </w:pPr>
    </w:p>
    <w:p w:rsidR="00A02B3C" w:rsidRDefault="00A02B3C" w:rsidP="00EB6A02">
      <w:pPr>
        <w:pStyle w:val="BodyText"/>
        <w:spacing w:before="3"/>
      </w:pPr>
    </w:p>
    <w:sectPr w:rsidR="00A02B3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B3C" w:rsidRDefault="00A02B3C">
      <w:r>
        <w:separator/>
      </w:r>
    </w:p>
  </w:endnote>
  <w:endnote w:type="continuationSeparator" w:id="1">
    <w:p w:rsidR="00A02B3C" w:rsidRDefault="00A02B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3C" w:rsidRDefault="00A02B3C">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A02B3C" w:rsidRPr="000E5040" w:rsidRDefault="00A02B3C">
                <w:pPr>
                  <w:spacing w:line="184" w:lineRule="exact"/>
                  <w:ind w:left="20" w:right="-12"/>
                  <w:rPr>
                    <w:rFonts w:ascii="Arial" w:eastAsia="Times New Roman" w:cs="Arial"/>
                    <w:color w:val="FFFFFF"/>
                    <w:sz w:val="16"/>
                    <w:szCs w:val="16"/>
                  </w:rPr>
                </w:pPr>
                <w:r w:rsidRPr="000E5040">
                  <w:rPr>
                    <w:rFonts w:ascii="Arial" w:eastAsia="Times New Roman" w:cs="Arial"/>
                    <w:color w:val="FFFFFF"/>
                    <w:sz w:val="16"/>
                    <w:szCs w:val="16"/>
                  </w:rPr>
                  <w:t>J Pain Relief</w:t>
                </w:r>
              </w:p>
              <w:p w:rsidR="00A02B3C" w:rsidRPr="000E5040" w:rsidRDefault="00A02B3C">
                <w:pPr>
                  <w:spacing w:before="8"/>
                  <w:ind w:left="20" w:right="-12"/>
                  <w:rPr>
                    <w:rFonts w:ascii="Arial" w:eastAsia="Times New Roman" w:cs="Arial"/>
                    <w:color w:val="FFFFFF"/>
                    <w:sz w:val="16"/>
                    <w:szCs w:val="16"/>
                  </w:rPr>
                </w:pPr>
                <w:r w:rsidRPr="000E5040">
                  <w:rPr>
                    <w:rFonts w:ascii="Arial" w:eastAsia="Times New Roman" w:cs="Arial"/>
                    <w:color w:val="FFFFFF"/>
                    <w:sz w:val="16"/>
                    <w:szCs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A02B3C" w:rsidRPr="000E5040" w:rsidRDefault="00A02B3C">
                <w:pPr>
                  <w:spacing w:line="269" w:lineRule="exact"/>
                  <w:jc w:val="center"/>
                  <w:rPr>
                    <w:rFonts w:ascii="Impact" w:eastAsia="Times New Roman" w:cs="Impact"/>
                    <w:color w:val="FFFFFF"/>
                    <w:sz w:val="24"/>
                    <w:szCs w:val="24"/>
                  </w:rPr>
                </w:pPr>
                <w:r w:rsidRPr="000E5040">
                  <w:rPr>
                    <w:rFonts w:ascii="Impact" w:eastAsia="Times New Roman" w:cs="Impact"/>
                    <w:color w:val="FFFFFF"/>
                    <w:sz w:val="24"/>
                    <w:szCs w:val="24"/>
                  </w:rPr>
                  <w:t>Fibromyalgia 2016</w:t>
                </w:r>
              </w:p>
              <w:p w:rsidR="00A02B3C" w:rsidRPr="000E5040" w:rsidRDefault="00A02B3C">
                <w:pPr>
                  <w:spacing w:before="29"/>
                  <w:jc w:val="center"/>
                  <w:rPr>
                    <w:rFonts w:ascii="Arial" w:eastAsia="Times New Roman" w:cs="Arial"/>
                    <w:color w:val="FFFFFF"/>
                    <w:sz w:val="16"/>
                    <w:szCs w:val="16"/>
                  </w:rPr>
                </w:pPr>
                <w:r w:rsidRPr="000E5040">
                  <w:rPr>
                    <w:rFonts w:ascii="Arial" w:eastAsia="Times New Roman" w:cs="Arial"/>
                    <w:color w:val="FFFFFF"/>
                    <w:sz w:val="16"/>
                    <w:szCs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A02B3C" w:rsidRPr="000E5040" w:rsidRDefault="00A02B3C">
                <w:pPr>
                  <w:spacing w:line="184" w:lineRule="exact"/>
                  <w:ind w:right="18"/>
                  <w:jc w:val="right"/>
                  <w:rPr>
                    <w:rFonts w:ascii="Arial" w:eastAsia="Times New Roman" w:cs="Arial"/>
                    <w:color w:val="FFFFFF"/>
                    <w:sz w:val="16"/>
                    <w:szCs w:val="16"/>
                  </w:rPr>
                </w:pPr>
                <w:r w:rsidRPr="000E5040">
                  <w:rPr>
                    <w:rFonts w:ascii="Arial" w:eastAsia="Times New Roman" w:cs="Arial"/>
                    <w:color w:val="FFFFFF"/>
                    <w:sz w:val="16"/>
                    <w:szCs w:val="16"/>
                  </w:rPr>
                  <w:t>Volume 5, Issue 3(Suppl)</w:t>
                </w:r>
              </w:p>
              <w:p w:rsidR="00A02B3C" w:rsidRPr="000E5040" w:rsidRDefault="00A02B3C">
                <w:pPr>
                  <w:spacing w:before="116"/>
                  <w:ind w:right="18"/>
                  <w:jc w:val="right"/>
                  <w:rPr>
                    <w:rFonts w:ascii="Minion Pro" w:eastAsia="Times New Roman" w:cs="Minion Pro"/>
                    <w:color w:val="FFFFFF"/>
                    <w:sz w:val="16"/>
                    <w:szCs w:val="16"/>
                  </w:rPr>
                </w:pPr>
                <w:r w:rsidRPr="000E5040">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B3C" w:rsidRDefault="00A02B3C">
      <w:r>
        <w:separator/>
      </w:r>
    </w:p>
  </w:footnote>
  <w:footnote w:type="continuationSeparator" w:id="1">
    <w:p w:rsidR="00A02B3C" w:rsidRDefault="00A02B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3C" w:rsidRDefault="00A02B3C">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A02B3C" w:rsidRPr="000E5040" w:rsidRDefault="00A02B3C">
                <w:pPr>
                  <w:spacing w:before="2" w:line="249" w:lineRule="auto"/>
                  <w:ind w:left="156" w:right="18" w:hanging="137"/>
                  <w:rPr>
                    <w:rFonts w:ascii="Arial"/>
                    <w:color w:val="FFFFFF"/>
                    <w:sz w:val="14"/>
                    <w:szCs w:val="14"/>
                  </w:rPr>
                </w:pPr>
                <w:r w:rsidRPr="000E5040">
                  <w:rPr>
                    <w:rFonts w:ascii="Arial" w:eastAsia="Times New Roman" w:cs="Arial"/>
                    <w:color w:val="FFFFFF"/>
                    <w:sz w:val="14"/>
                    <w:szCs w:val="14"/>
                  </w:rPr>
                  <w:t xml:space="preserve">T Furuta et al., J Pai n Relief 2016, 5:3(Suppl) </w:t>
                </w:r>
                <w:hyperlink r:id="rId1">
                  <w:r w:rsidRPr="000E5040">
                    <w:rPr>
                      <w:rFonts w:ascii="Arial" w:eastAsia="Times New Roman" w:cs="Arial"/>
                      <w:color w:val="FFFFFF"/>
                      <w:sz w:val="14"/>
                      <w:szCs w:val="14"/>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A02B3C" w:rsidRPr="000E5040" w:rsidRDefault="00A02B3C">
                <w:pPr>
                  <w:pStyle w:val="BodyText"/>
                  <w:spacing w:line="187" w:lineRule="exact"/>
                  <w:ind w:left="20" w:right="-10"/>
                  <w:rPr>
                    <w:rFonts w:ascii="Myriad Pro" w:eastAsia="Times New Roman" w:cs="Myriad Pro"/>
                    <w:color w:val="FFFFFF"/>
                  </w:rPr>
                </w:pPr>
                <w:r w:rsidRPr="000E5040">
                  <w:rPr>
                    <w:rFonts w:ascii="Myriad Pro" w:eastAsia="Times New Roman" w:cs="Myriad Pro"/>
                    <w:color w:val="FFFFFF"/>
                  </w:rPr>
                  <w:t>International Conference on</w:t>
                </w:r>
              </w:p>
              <w:p w:rsidR="00A02B3C" w:rsidRPr="000E5040" w:rsidRDefault="00A02B3C">
                <w:pPr>
                  <w:spacing w:line="614" w:lineRule="exact"/>
                  <w:ind w:left="20" w:right="-10"/>
                  <w:rPr>
                    <w:rFonts w:ascii="Minion Pro" w:eastAsia="Times New Roman" w:cs="Minion Pro"/>
                    <w:color w:val="FFFFFF"/>
                    <w:sz w:val="24"/>
                    <w:szCs w:val="24"/>
                  </w:rPr>
                </w:pPr>
                <w:r w:rsidRPr="000E5040">
                  <w:rPr>
                    <w:rFonts w:ascii="Impact" w:eastAsia="Times New Roman" w:cs="Impact"/>
                    <w:color w:val="FFFFFF"/>
                    <w:sz w:val="52"/>
                    <w:szCs w:val="52"/>
                  </w:rPr>
                  <w:t xml:space="preserve">Fibromyalgia and Chronic Pain </w:t>
                </w:r>
                <w:r w:rsidRPr="000E5040">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EB70E72"/>
    <w:multiLevelType w:val="hybridMultilevel"/>
    <w:tmpl w:val="C16837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00BD5"/>
    <w:rsid w:val="00007863"/>
    <w:rsid w:val="00042C81"/>
    <w:rsid w:val="000503CC"/>
    <w:rsid w:val="000A1EE2"/>
    <w:rsid w:val="000E2911"/>
    <w:rsid w:val="000E5040"/>
    <w:rsid w:val="001134D3"/>
    <w:rsid w:val="001263DF"/>
    <w:rsid w:val="00185EA2"/>
    <w:rsid w:val="002204C9"/>
    <w:rsid w:val="00240957"/>
    <w:rsid w:val="002455EC"/>
    <w:rsid w:val="00292ED9"/>
    <w:rsid w:val="003205E3"/>
    <w:rsid w:val="0032508B"/>
    <w:rsid w:val="00325A7E"/>
    <w:rsid w:val="0034051B"/>
    <w:rsid w:val="003911A1"/>
    <w:rsid w:val="003B523D"/>
    <w:rsid w:val="003D321C"/>
    <w:rsid w:val="00404E5B"/>
    <w:rsid w:val="00414F7B"/>
    <w:rsid w:val="004355DC"/>
    <w:rsid w:val="004749B4"/>
    <w:rsid w:val="00494130"/>
    <w:rsid w:val="004A3386"/>
    <w:rsid w:val="004E41B8"/>
    <w:rsid w:val="004F3523"/>
    <w:rsid w:val="00534EFE"/>
    <w:rsid w:val="005973B9"/>
    <w:rsid w:val="005B3A56"/>
    <w:rsid w:val="006060CE"/>
    <w:rsid w:val="00616076"/>
    <w:rsid w:val="0063497F"/>
    <w:rsid w:val="006462EC"/>
    <w:rsid w:val="00661883"/>
    <w:rsid w:val="006F7457"/>
    <w:rsid w:val="00701F96"/>
    <w:rsid w:val="007165EE"/>
    <w:rsid w:val="00741B53"/>
    <w:rsid w:val="00766DA0"/>
    <w:rsid w:val="0077383E"/>
    <w:rsid w:val="007903B0"/>
    <w:rsid w:val="00795FCF"/>
    <w:rsid w:val="007C3C73"/>
    <w:rsid w:val="008111CC"/>
    <w:rsid w:val="00873DF0"/>
    <w:rsid w:val="008756E6"/>
    <w:rsid w:val="008A08B6"/>
    <w:rsid w:val="00953F48"/>
    <w:rsid w:val="00983713"/>
    <w:rsid w:val="009B2D44"/>
    <w:rsid w:val="00A02B3C"/>
    <w:rsid w:val="00A03BDD"/>
    <w:rsid w:val="00A07E82"/>
    <w:rsid w:val="00A15C09"/>
    <w:rsid w:val="00A3115B"/>
    <w:rsid w:val="00A61836"/>
    <w:rsid w:val="00A9710C"/>
    <w:rsid w:val="00AD3664"/>
    <w:rsid w:val="00AE3E37"/>
    <w:rsid w:val="00B21A57"/>
    <w:rsid w:val="00C01570"/>
    <w:rsid w:val="00C33602"/>
    <w:rsid w:val="00C33B8D"/>
    <w:rsid w:val="00C802D4"/>
    <w:rsid w:val="00C97506"/>
    <w:rsid w:val="00CB7613"/>
    <w:rsid w:val="00CD563E"/>
    <w:rsid w:val="00CD6F55"/>
    <w:rsid w:val="00DB7368"/>
    <w:rsid w:val="00DC5DC3"/>
    <w:rsid w:val="00DD3451"/>
    <w:rsid w:val="00DE3104"/>
    <w:rsid w:val="00DE50FD"/>
    <w:rsid w:val="00E12D1B"/>
    <w:rsid w:val="00E24B29"/>
    <w:rsid w:val="00E26B10"/>
    <w:rsid w:val="00EB6A02"/>
    <w:rsid w:val="00F72EEA"/>
    <w:rsid w:val="00F84CAE"/>
    <w:rsid w:val="00FA6673"/>
    <w:rsid w:val="00FC55FC"/>
    <w:rsid w:val="00FD590B"/>
    <w:rsid w:val="00FF0EB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33B8D"/>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C33B8D"/>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C33B8D"/>
    <w:rPr>
      <w:rFonts w:ascii="Cambria" w:hAnsi="Cambria" w:cs="Cambria"/>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 w:type="character" w:customStyle="1" w:styleId="p-node">
    <w:name w:val="p-node"/>
    <w:basedOn w:val="DefaultParagraphFont"/>
    <w:uiPriority w:val="99"/>
    <w:rsid w:val="00240957"/>
  </w:style>
  <w:style w:type="table" w:styleId="TableGrid">
    <w:name w:val="Table Grid"/>
    <w:basedOn w:val="TableNormal"/>
    <w:uiPriority w:val="99"/>
    <w:locked/>
    <w:rsid w:val="007C3C73"/>
    <w:pPr>
      <w:widowControl w:val="0"/>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44662278">
      <w:marLeft w:val="0"/>
      <w:marRight w:val="0"/>
      <w:marTop w:val="0"/>
      <w:marBottom w:val="0"/>
      <w:divBdr>
        <w:top w:val="none" w:sz="0" w:space="0" w:color="auto"/>
        <w:left w:val="none" w:sz="0" w:space="0" w:color="auto"/>
        <w:bottom w:val="none" w:sz="0" w:space="0" w:color="auto"/>
        <w:right w:val="none" w:sz="0" w:space="0" w:color="auto"/>
      </w:divBdr>
    </w:div>
    <w:div w:id="18446622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ebreyohannes.girmay@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612</Words>
  <Characters>3490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Gebreyohannes</cp:lastModifiedBy>
  <cp:revision>2</cp:revision>
  <dcterms:created xsi:type="dcterms:W3CDTF">2019-03-10T15:31:00Z</dcterms:created>
  <dcterms:modified xsi:type="dcterms:W3CDTF">2019-03-10T15:31:00Z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