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FB5" w:rsidRPr="00E11FB5" w:rsidRDefault="00E11FB5" w:rsidP="00E11FB5">
      <w:pPr>
        <w:autoSpaceDE w:val="0"/>
        <w:autoSpaceDN w:val="0"/>
        <w:adjustRightInd w:val="0"/>
        <w:jc w:val="center"/>
        <w:rPr>
          <w:rFonts w:ascii="Times New Roman" w:hAnsi="Times New Roman" w:cs="Times New Roman"/>
          <w:b/>
          <w:bCs/>
          <w:sz w:val="36"/>
          <w:szCs w:val="36"/>
        </w:rPr>
      </w:pPr>
      <w:r w:rsidRPr="00E11FB5">
        <w:rPr>
          <w:color w:val="337AB7"/>
          <w:sz w:val="36"/>
          <w:szCs w:val="36"/>
        </w:rPr>
        <w:t xml:space="preserve">Effect of heavy metal on </w:t>
      </w:r>
      <w:r w:rsidRPr="00CA591E">
        <w:rPr>
          <w:i/>
          <w:iCs/>
          <w:color w:val="337AB7"/>
          <w:sz w:val="36"/>
          <w:szCs w:val="36"/>
        </w:rPr>
        <w:t>Pinna nobilis</w:t>
      </w:r>
      <w:r w:rsidRPr="00E11FB5">
        <w:rPr>
          <w:color w:val="337AB7"/>
          <w:sz w:val="36"/>
          <w:szCs w:val="36"/>
        </w:rPr>
        <w:t xml:space="preserve"> distribution southern Mediterranean Sea: Bizerte lagoon.</w:t>
      </w:r>
      <w:r w:rsidRPr="00E11FB5">
        <w:rPr>
          <w:rFonts w:ascii="Times New Roman" w:hAnsi="Times New Roman" w:cs="Times New Roman"/>
          <w:b/>
          <w:bCs/>
          <w:sz w:val="36"/>
          <w:szCs w:val="36"/>
        </w:rPr>
        <w:t xml:space="preserve"> </w:t>
      </w:r>
    </w:p>
    <w:p w:rsidR="00B518D2" w:rsidRPr="00B518D2" w:rsidRDefault="00B518D2" w:rsidP="00B518D2">
      <w:pPr>
        <w:pStyle w:val="Default"/>
        <w:rPr>
          <w:rFonts w:ascii="Times New Roman" w:hAnsi="Times New Roman" w:cs="Times New Roman"/>
          <w:b/>
          <w:bCs/>
          <w:color w:val="auto"/>
          <w:vertAlign w:val="superscript"/>
          <w:lang w:val="en-US"/>
        </w:rPr>
      </w:pPr>
      <w:r w:rsidRPr="00B518D2">
        <w:rPr>
          <w:rFonts w:ascii="Times New Roman" w:hAnsi="Times New Roman" w:cs="Times New Roman"/>
          <w:b/>
          <w:bCs/>
          <w:color w:val="auto"/>
          <w:lang w:val="en-US"/>
        </w:rPr>
        <w:t>Sarra Labidi</w:t>
      </w:r>
      <w:r w:rsidRPr="00B518D2">
        <w:rPr>
          <w:rFonts w:ascii="Times New Roman" w:hAnsi="Times New Roman" w:cs="Times New Roman"/>
          <w:b/>
          <w:bCs/>
          <w:color w:val="auto"/>
          <w:vertAlign w:val="superscript"/>
          <w:lang w:val="en-US"/>
        </w:rPr>
        <w:t>1</w:t>
      </w:r>
      <w:r w:rsidRPr="00B518D2">
        <w:rPr>
          <w:rFonts w:ascii="Times New Roman" w:hAnsi="Times New Roman" w:cs="Times New Roman"/>
          <w:b/>
          <w:bCs/>
          <w:color w:val="auto"/>
          <w:lang w:val="en-US"/>
        </w:rPr>
        <w:t>, Marwa Khammassi</w:t>
      </w:r>
      <w:r w:rsidRPr="00B518D2">
        <w:rPr>
          <w:rFonts w:ascii="Times New Roman" w:hAnsi="Times New Roman" w:cs="Times New Roman"/>
          <w:b/>
          <w:bCs/>
          <w:color w:val="auto"/>
          <w:vertAlign w:val="superscript"/>
          <w:lang w:val="en-US"/>
        </w:rPr>
        <w:t>1</w:t>
      </w:r>
      <w:r w:rsidRPr="00B518D2">
        <w:rPr>
          <w:rFonts w:ascii="Times New Roman" w:hAnsi="Times New Roman" w:cs="Times New Roman"/>
          <w:b/>
          <w:bCs/>
          <w:color w:val="auto"/>
          <w:lang w:val="en-US"/>
        </w:rPr>
        <w:t>, Wahiba Zaabar</w:t>
      </w:r>
      <w:r w:rsidRPr="00B518D2">
        <w:rPr>
          <w:rFonts w:ascii="Times New Roman" w:hAnsi="Times New Roman" w:cs="Times New Roman"/>
          <w:b/>
          <w:bCs/>
          <w:color w:val="auto"/>
          <w:vertAlign w:val="superscript"/>
          <w:lang w:val="en-US"/>
        </w:rPr>
        <w:t>1</w:t>
      </w:r>
      <w:r w:rsidRPr="00B518D2">
        <w:rPr>
          <w:rFonts w:ascii="Times New Roman" w:hAnsi="Times New Roman" w:cs="Times New Roman"/>
          <w:b/>
          <w:bCs/>
          <w:color w:val="auto"/>
          <w:lang w:val="en-US"/>
        </w:rPr>
        <w:t>, Marwa Dridi</w:t>
      </w:r>
      <w:r w:rsidRPr="00B518D2">
        <w:rPr>
          <w:rFonts w:ascii="Times New Roman" w:hAnsi="Times New Roman" w:cs="Times New Roman"/>
          <w:b/>
          <w:bCs/>
          <w:color w:val="auto"/>
          <w:vertAlign w:val="superscript"/>
          <w:lang w:val="en-US"/>
        </w:rPr>
        <w:t>2</w:t>
      </w:r>
      <w:r w:rsidRPr="00B518D2">
        <w:rPr>
          <w:rFonts w:ascii="Times New Roman" w:hAnsi="Times New Roman" w:cs="Times New Roman"/>
          <w:b/>
          <w:bCs/>
          <w:color w:val="auto"/>
          <w:lang w:val="en-US"/>
        </w:rPr>
        <w:t>, Mohamed Sghaier Achouri</w:t>
      </w:r>
      <w:r w:rsidRPr="00B518D2">
        <w:rPr>
          <w:rFonts w:ascii="Times New Roman" w:hAnsi="Times New Roman" w:cs="Times New Roman"/>
          <w:b/>
          <w:bCs/>
          <w:color w:val="auto"/>
          <w:vertAlign w:val="superscript"/>
          <w:lang w:val="en-US"/>
        </w:rPr>
        <w:t>1</w:t>
      </w:r>
    </w:p>
    <w:p w:rsidR="00B518D2" w:rsidRPr="00B518D2" w:rsidRDefault="00B518D2" w:rsidP="00B518D2">
      <w:pPr>
        <w:pStyle w:val="Default"/>
        <w:rPr>
          <w:rFonts w:ascii="Times New Roman" w:hAnsi="Times New Roman" w:cs="Times New Roman"/>
          <w:color w:val="auto"/>
          <w:sz w:val="20"/>
          <w:szCs w:val="20"/>
          <w:shd w:val="clear" w:color="auto" w:fill="FFFFFF"/>
          <w:lang w:val="en-US"/>
        </w:rPr>
      </w:pPr>
      <w:r w:rsidRPr="00B518D2">
        <w:rPr>
          <w:rFonts w:ascii="Times New Roman" w:hAnsi="Times New Roman" w:cs="Times New Roman"/>
          <w:color w:val="auto"/>
          <w:sz w:val="20"/>
          <w:szCs w:val="20"/>
          <w:lang w:val="en-US"/>
        </w:rPr>
        <w:t xml:space="preserve">1 </w:t>
      </w:r>
      <w:r w:rsidRPr="00B518D2">
        <w:rPr>
          <w:rFonts w:ascii="Times New Roman" w:hAnsi="Times New Roman" w:cs="Times New Roman"/>
          <w:color w:val="auto"/>
          <w:sz w:val="20"/>
          <w:szCs w:val="20"/>
          <w:shd w:val="clear" w:color="auto" w:fill="FFFFFF"/>
          <w:lang w:val="en-US"/>
        </w:rPr>
        <w:t>University of Tunis El Manar, Faculty of Sciences of Tunis, Laboratory of Diversity, Management and Conservation of Biological Systems, LR18ES06, Tunis, Tunisia.</w:t>
      </w:r>
    </w:p>
    <w:p w:rsidR="00E11FB5" w:rsidRPr="004130A4" w:rsidRDefault="00B518D2" w:rsidP="001A687B">
      <w:pPr>
        <w:spacing w:line="360" w:lineRule="auto"/>
        <w:jc w:val="both"/>
        <w:rPr>
          <w:rFonts w:ascii="Times New Roman" w:eastAsia="Times New Roman" w:hAnsi="Times New Roman" w:cs="Times New Roman"/>
          <w:sz w:val="20"/>
          <w:szCs w:val="20"/>
          <w:shd w:val="clear" w:color="auto" w:fill="FFFFFF"/>
          <w:lang w:eastAsia="fr-FR"/>
        </w:rPr>
      </w:pPr>
      <w:r w:rsidRPr="004130A4">
        <w:rPr>
          <w:rFonts w:eastAsia="Times New Roman"/>
          <w:shd w:val="clear" w:color="auto" w:fill="FFFFFF"/>
        </w:rPr>
        <w:t xml:space="preserve">     </w:t>
      </w:r>
      <w:r w:rsidR="004130A4">
        <w:rPr>
          <w:rFonts w:eastAsia="Times New Roman"/>
          <w:shd w:val="clear" w:color="auto" w:fill="FFFFFF"/>
        </w:rPr>
        <w:t xml:space="preserve"> </w:t>
      </w:r>
      <w:proofErr w:type="gramStart"/>
      <w:r w:rsidRPr="004130A4">
        <w:rPr>
          <w:rFonts w:eastAsia="Times New Roman"/>
          <w:shd w:val="clear" w:color="auto" w:fill="FFFFFF"/>
        </w:rPr>
        <w:t xml:space="preserve">2 </w:t>
      </w:r>
      <w:r w:rsidR="004130A4" w:rsidRPr="004130A4">
        <w:rPr>
          <w:rFonts w:ascii="Times New Roman" w:eastAsia="Times New Roman" w:hAnsi="Times New Roman" w:cs="Times New Roman"/>
          <w:sz w:val="20"/>
          <w:szCs w:val="20"/>
          <w:shd w:val="clear" w:color="auto" w:fill="FFFFFF"/>
          <w:lang w:eastAsia="fr-FR"/>
        </w:rPr>
        <w:t>General commissariat for agriculture d</w:t>
      </w:r>
      <w:r w:rsidR="001A687B" w:rsidRPr="004130A4">
        <w:rPr>
          <w:rFonts w:ascii="Times New Roman" w:eastAsia="Times New Roman" w:hAnsi="Times New Roman" w:cs="Times New Roman"/>
          <w:sz w:val="20"/>
          <w:szCs w:val="20"/>
          <w:shd w:val="clear" w:color="auto" w:fill="FFFFFF"/>
          <w:lang w:eastAsia="fr-FR"/>
        </w:rPr>
        <w:t>evelopment</w:t>
      </w:r>
      <w:r w:rsidR="00CA591E">
        <w:rPr>
          <w:rFonts w:ascii="Times New Roman" w:eastAsia="Times New Roman" w:hAnsi="Times New Roman" w:cs="Times New Roman"/>
          <w:sz w:val="20"/>
          <w:szCs w:val="20"/>
          <w:shd w:val="clear" w:color="auto" w:fill="FFFFFF"/>
          <w:lang w:eastAsia="fr-FR"/>
        </w:rPr>
        <w:t xml:space="preserve"> (CRDA)</w:t>
      </w:r>
      <w:r w:rsidR="001A687B" w:rsidRPr="004130A4">
        <w:rPr>
          <w:rFonts w:ascii="Times New Roman" w:eastAsia="Times New Roman" w:hAnsi="Times New Roman" w:cs="Times New Roman"/>
          <w:sz w:val="20"/>
          <w:szCs w:val="20"/>
          <w:shd w:val="clear" w:color="auto" w:fill="FFFFFF"/>
          <w:lang w:eastAsia="fr-FR"/>
        </w:rPr>
        <w:t>, administration</w:t>
      </w:r>
      <w:r w:rsidRPr="004130A4">
        <w:rPr>
          <w:rFonts w:ascii="Times New Roman" w:eastAsia="Times New Roman" w:hAnsi="Times New Roman" w:cs="Times New Roman"/>
          <w:sz w:val="20"/>
          <w:szCs w:val="20"/>
          <w:shd w:val="clear" w:color="auto" w:fill="FFFFFF"/>
          <w:lang w:eastAsia="fr-FR"/>
        </w:rPr>
        <w:t xml:space="preserve"> of water resources</w:t>
      </w:r>
      <w:r w:rsidRPr="004130A4">
        <w:rPr>
          <w:rFonts w:eastAsia="Times New Roman"/>
          <w:shd w:val="clear" w:color="auto" w:fill="FFFFFF"/>
        </w:rPr>
        <w:t>.</w:t>
      </w:r>
      <w:proofErr w:type="gramEnd"/>
    </w:p>
    <w:p w:rsidR="00E11FB5" w:rsidRDefault="00E11FB5" w:rsidP="00E11FB5">
      <w:pPr>
        <w:rPr>
          <w:rFonts w:ascii="Arial"/>
          <w:sz w:val="21"/>
        </w:rPr>
        <w:sectPr w:rsidR="00E11FB5" w:rsidSect="00E11FB5">
          <w:headerReference w:type="default" r:id="rId5"/>
          <w:footerReference w:type="default" r:id="rId6"/>
          <w:pgSz w:w="11910" w:h="16840"/>
          <w:pgMar w:top="1740" w:right="600" w:bottom="840" w:left="620" w:header="541" w:footer="642" w:gutter="0"/>
          <w:cols w:space="720"/>
        </w:sectPr>
      </w:pPr>
    </w:p>
    <w:p w:rsidR="00E11FB5" w:rsidRDefault="00E11FB5" w:rsidP="00E11FB5">
      <w:pPr>
        <w:pStyle w:val="Titre3"/>
        <w:spacing w:before="147"/>
        <w:jc w:val="both"/>
      </w:pPr>
      <w:r>
        <w:rPr>
          <w:color w:val="BF5A14"/>
        </w:rPr>
        <w:lastRenderedPageBreak/>
        <w:t>Abstract (300 word limit)</w:t>
      </w:r>
    </w:p>
    <w:p w:rsidR="00E11FB5" w:rsidRPr="00E11FB5" w:rsidRDefault="00E11FB5" w:rsidP="00E11FB5">
      <w:pPr>
        <w:pStyle w:val="Corpsdetexte"/>
        <w:spacing w:before="90" w:line="280" w:lineRule="auto"/>
        <w:ind w:left="100"/>
        <w:jc w:val="both"/>
      </w:pPr>
      <w:r w:rsidRPr="00E11FB5">
        <w:t xml:space="preserve">The increase of anthropogenic activities is likely to influence populations of the endangered species </w:t>
      </w:r>
      <w:r w:rsidRPr="00CA591E">
        <w:rPr>
          <w:i/>
          <w:iCs/>
        </w:rPr>
        <w:t>Pinna nobilis</w:t>
      </w:r>
      <w:r w:rsidRPr="00E11FB5">
        <w:t xml:space="preserve">. </w:t>
      </w:r>
    </w:p>
    <w:p w:rsidR="00E11FB5" w:rsidRPr="00E11FB5" w:rsidRDefault="00E11FB5" w:rsidP="00E11FB5">
      <w:pPr>
        <w:pStyle w:val="Corpsdetexte"/>
        <w:spacing w:before="90" w:line="280" w:lineRule="auto"/>
        <w:ind w:left="100"/>
        <w:jc w:val="both"/>
      </w:pPr>
      <w:r w:rsidRPr="00E11FB5">
        <w:t xml:space="preserve">Here we estimate the population’s density of </w:t>
      </w:r>
      <w:r w:rsidRPr="00CA591E">
        <w:rPr>
          <w:i/>
          <w:iCs/>
        </w:rPr>
        <w:t>P. nobilis</w:t>
      </w:r>
      <w:r w:rsidRPr="00E11FB5">
        <w:t xml:space="preserve">, in spring 2016, and we measured the effects of dissolved oxygen, salinity and heavy metal concentration (Fe, Zn, Cd and Ni) on its distribution, in shallow and thus usually most impacted areas around the Bizerte lagoon; southern Mediterranean sea. At eight evaluated sites.  </w:t>
      </w:r>
    </w:p>
    <w:p w:rsidR="00E11FB5" w:rsidRPr="00E11FB5" w:rsidRDefault="00E11FB5" w:rsidP="00E11FB5">
      <w:pPr>
        <w:pStyle w:val="Corpsdetexte"/>
        <w:spacing w:before="90" w:line="280" w:lineRule="auto"/>
        <w:ind w:left="100"/>
        <w:jc w:val="both"/>
      </w:pPr>
      <w:r w:rsidRPr="00E11FB5">
        <w:t xml:space="preserve">We find certain distinct densities ranging from (0 to 30 individuals/100 m2). These differences could be explained by heavy metal distribution, where station close the metallurgic industry at city of Menzel Bourguiba showed zero fan mussel densities. However, protected bivalves density was related to dissolved oxygen, hence, </w:t>
      </w:r>
      <w:r w:rsidRPr="00CA591E">
        <w:rPr>
          <w:i/>
          <w:iCs/>
        </w:rPr>
        <w:t>P. nobilis</w:t>
      </w:r>
      <w:r w:rsidRPr="00E11FB5">
        <w:t xml:space="preserve"> are regularly detected living within seagrass meadows, where dissolved oxygen is usually oversaturated due to strong photosynthesis.</w:t>
      </w:r>
    </w:p>
    <w:p w:rsidR="00E11FB5" w:rsidRPr="00E11FB5" w:rsidRDefault="00E11FB5" w:rsidP="00E11FB5">
      <w:pPr>
        <w:pStyle w:val="Corpsdetexte"/>
        <w:spacing w:before="90" w:line="280" w:lineRule="auto"/>
        <w:ind w:left="100"/>
        <w:jc w:val="both"/>
      </w:pPr>
      <w:r w:rsidRPr="00E11FB5">
        <w:t xml:space="preserve">Despite the pressures generated in Bizerte lagoon, the </w:t>
      </w:r>
      <w:r w:rsidRPr="00CA591E">
        <w:rPr>
          <w:i/>
          <w:iCs/>
        </w:rPr>
        <w:t>P. nobilis</w:t>
      </w:r>
      <w:r w:rsidRPr="00E11FB5">
        <w:t xml:space="preserve"> populations remain important, in fact, conservation programs need to be established to protect species.</w:t>
      </w:r>
    </w:p>
    <w:p w:rsidR="00E11FB5" w:rsidRPr="00E11FB5" w:rsidRDefault="00E11FB5" w:rsidP="00E11FB5">
      <w:pPr>
        <w:pStyle w:val="Corpsdetexte"/>
        <w:spacing w:before="90" w:line="280" w:lineRule="auto"/>
        <w:ind w:left="100"/>
        <w:jc w:val="both"/>
      </w:pPr>
      <w:r w:rsidRPr="00E11FB5">
        <w:t xml:space="preserve">Key words: </w:t>
      </w:r>
      <w:r w:rsidRPr="00CA591E">
        <w:rPr>
          <w:i/>
          <w:iCs/>
        </w:rPr>
        <w:t>Pinna nobilis</w:t>
      </w:r>
      <w:r w:rsidRPr="00E11FB5">
        <w:t>, heavy metal, dissolved oxygen, Bizerte lagoon, Tunisia.</w:t>
      </w:r>
    </w:p>
    <w:p w:rsidR="00E11FB5" w:rsidRDefault="00E11FB5" w:rsidP="00E11FB5">
      <w:pPr>
        <w:pStyle w:val="Corpsdetexte"/>
        <w:spacing w:before="90" w:line="280" w:lineRule="auto"/>
        <w:ind w:left="100"/>
        <w:jc w:val="both"/>
      </w:pPr>
      <w:r>
        <w:t xml:space="preserve"> </w:t>
      </w:r>
    </w:p>
    <w:p w:rsidR="00E11FB5" w:rsidRDefault="00E11FB5" w:rsidP="00E11FB5">
      <w:pPr>
        <w:pStyle w:val="Titre3"/>
        <w:spacing w:before="74"/>
      </w:pPr>
      <w:r>
        <w:rPr>
          <w:b w:val="0"/>
        </w:rPr>
        <w:br w:type="column"/>
      </w:r>
      <w:r>
        <w:rPr>
          <w:color w:val="BF5A14"/>
        </w:rPr>
        <w:lastRenderedPageBreak/>
        <w:t>Image</w:t>
      </w:r>
    </w:p>
    <w:p w:rsidR="00E11FB5" w:rsidRDefault="006C2AD5" w:rsidP="00E11FB5">
      <w:pPr>
        <w:pStyle w:val="Corpsdetexte"/>
        <w:spacing w:before="2"/>
        <w:rPr>
          <w:rFonts w:ascii="Arial"/>
          <w:b/>
          <w:sz w:val="16"/>
        </w:rPr>
      </w:pPr>
      <w:r>
        <w:rPr>
          <w:rFonts w:ascii="Arial"/>
          <w:b/>
          <w:noProof/>
          <w:color w:val="BF5A14"/>
          <w:sz w:val="20"/>
          <w:lang w:val="fr-FR" w:eastAsia="fr-FR"/>
        </w:rPr>
        <w:pict>
          <v:rect id="_x0000_s1029" style="position:absolute;margin-left:2.7pt;margin-top:143.15pt;width:4in;height:28.2pt;z-index:251661312">
            <v:textbox style="mso-next-textbox:#_x0000_s1029">
              <w:txbxContent>
                <w:p w:rsidR="00D2038E" w:rsidRPr="00BA28C1" w:rsidRDefault="00D2038E" w:rsidP="00D2038E">
                  <w:r>
                    <w:rPr>
                      <w:sz w:val="18"/>
                      <w:szCs w:val="18"/>
                    </w:rPr>
                    <w:t xml:space="preserve">Figure 1: </w:t>
                  </w:r>
                  <w:r w:rsidRPr="00D2038E">
                    <w:rPr>
                      <w:sz w:val="18"/>
                      <w:szCs w:val="18"/>
                    </w:rPr>
                    <w:t xml:space="preserve">Results of the principal component analysis (PCA) conducted on data collected in Bizerte lagoon </w:t>
                  </w:r>
                </w:p>
                <w:p w:rsidR="00D2038E" w:rsidRDefault="00D2038E"/>
              </w:txbxContent>
            </v:textbox>
          </v:rect>
        </w:pict>
      </w:r>
      <w:r w:rsidRPr="006C2AD5">
        <w:rPr>
          <w:rFonts w:ascii="Arial"/>
          <w:b/>
          <w:sz w:val="16"/>
        </w:rPr>
        <w:drawing>
          <wp:inline distT="0" distB="0" distL="0" distR="0">
            <wp:extent cx="3644458" cy="1928191"/>
            <wp:effectExtent l="19050" t="0" r="13142" b="0"/>
            <wp:docPr id="7"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44883" w:rsidRDefault="00E11FB5" w:rsidP="00E11FB5">
      <w:pPr>
        <w:spacing w:line="204" w:lineRule="exact"/>
        <w:rPr>
          <w:rFonts w:ascii="Arial"/>
          <w:b/>
          <w:color w:val="BF5A14"/>
          <w:sz w:val="20"/>
        </w:rPr>
      </w:pPr>
      <w:r>
        <w:rPr>
          <w:rFonts w:ascii="Arial"/>
          <w:b/>
          <w:color w:val="BF5A14"/>
          <w:sz w:val="20"/>
        </w:rPr>
        <w:br/>
      </w:r>
    </w:p>
    <w:p w:rsidR="00D2038E" w:rsidRDefault="00D2038E" w:rsidP="00E11FB5">
      <w:pPr>
        <w:spacing w:line="204" w:lineRule="exact"/>
        <w:rPr>
          <w:rFonts w:ascii="Arial"/>
          <w:b/>
          <w:color w:val="BF5A14"/>
          <w:sz w:val="20"/>
        </w:rPr>
      </w:pPr>
    </w:p>
    <w:p w:rsidR="00E11FB5" w:rsidRDefault="00E11FB5" w:rsidP="00A4648C">
      <w:pPr>
        <w:spacing w:line="204" w:lineRule="exact"/>
        <w:rPr>
          <w:rFonts w:ascii="Arial"/>
          <w:b/>
          <w:sz w:val="20"/>
        </w:rPr>
      </w:pPr>
      <w:r>
        <w:rPr>
          <w:rFonts w:ascii="Arial"/>
          <w:b/>
          <w:color w:val="BF5A14"/>
          <w:sz w:val="20"/>
        </w:rPr>
        <w:t xml:space="preserve">Recent Publications </w:t>
      </w:r>
    </w:p>
    <w:p w:rsidR="003669C6" w:rsidRPr="00CA591E" w:rsidRDefault="003669C6" w:rsidP="00A4648C">
      <w:pPr>
        <w:pStyle w:val="Paragraphedeliste"/>
        <w:numPr>
          <w:ilvl w:val="0"/>
          <w:numId w:val="1"/>
        </w:numPr>
        <w:autoSpaceDE w:val="0"/>
        <w:autoSpaceDN w:val="0"/>
        <w:adjustRightInd w:val="0"/>
        <w:spacing w:before="100" w:beforeAutospacing="1" w:line="240" w:lineRule="auto"/>
        <w:ind w:right="57"/>
        <w:rPr>
          <w:rFonts w:asciiTheme="minorHAnsi" w:eastAsia="Tw Cen MT" w:hAnsiTheme="minorHAnsi" w:cs="Arial"/>
          <w:sz w:val="16"/>
          <w:szCs w:val="16"/>
        </w:rPr>
      </w:pPr>
      <w:hyperlink r:id="rId8" w:history="1">
        <w:r w:rsidRPr="00CA591E">
          <w:rPr>
            <w:rFonts w:asciiTheme="minorHAnsi" w:eastAsia="Tw Cen MT" w:hAnsiTheme="minorHAnsi" w:cs="Arial"/>
            <w:sz w:val="16"/>
            <w:szCs w:val="16"/>
          </w:rPr>
          <w:t xml:space="preserve">Alomar, C., </w:t>
        </w:r>
        <w:proofErr w:type="spellStart"/>
        <w:r w:rsidRPr="00CA591E">
          <w:rPr>
            <w:rFonts w:asciiTheme="minorHAnsi" w:eastAsia="Tw Cen MT" w:hAnsiTheme="minorHAnsi" w:cs="Arial"/>
            <w:sz w:val="16"/>
            <w:szCs w:val="16"/>
          </w:rPr>
          <w:t>Vázquez</w:t>
        </w:r>
        <w:proofErr w:type="spellEnd"/>
        <w:r w:rsidRPr="00CA591E">
          <w:rPr>
            <w:rFonts w:asciiTheme="minorHAnsi" w:eastAsia="Tw Cen MT" w:hAnsiTheme="minorHAnsi" w:cs="Arial"/>
            <w:sz w:val="16"/>
            <w:szCs w:val="16"/>
          </w:rPr>
          <w:t xml:space="preserve">-Luis, M., </w:t>
        </w:r>
        <w:proofErr w:type="spellStart"/>
        <w:r w:rsidRPr="00CA591E">
          <w:rPr>
            <w:rFonts w:asciiTheme="minorHAnsi" w:eastAsia="Tw Cen MT" w:hAnsiTheme="minorHAnsi" w:cs="Arial"/>
            <w:sz w:val="16"/>
            <w:szCs w:val="16"/>
          </w:rPr>
          <w:t>Magraner</w:t>
        </w:r>
        <w:proofErr w:type="spellEnd"/>
        <w:r w:rsidRPr="00CA591E">
          <w:rPr>
            <w:rFonts w:asciiTheme="minorHAnsi" w:eastAsia="Tw Cen MT" w:hAnsiTheme="minorHAnsi" w:cs="Arial"/>
            <w:sz w:val="16"/>
            <w:szCs w:val="16"/>
          </w:rPr>
          <w:t xml:space="preserve">, K, Lozano L., </w:t>
        </w:r>
        <w:proofErr w:type="spellStart"/>
        <w:r w:rsidRPr="00CA591E">
          <w:rPr>
            <w:rFonts w:asciiTheme="minorHAnsi" w:eastAsia="Tw Cen MT" w:hAnsiTheme="minorHAnsi" w:cs="Arial"/>
            <w:sz w:val="16"/>
            <w:szCs w:val="16"/>
          </w:rPr>
          <w:t>Deudero</w:t>
        </w:r>
        <w:proofErr w:type="spellEnd"/>
        <w:r w:rsidRPr="00CA591E">
          <w:rPr>
            <w:rFonts w:asciiTheme="minorHAnsi" w:eastAsia="Tw Cen MT" w:hAnsiTheme="minorHAnsi" w:cs="Arial"/>
            <w:sz w:val="16"/>
            <w:szCs w:val="16"/>
          </w:rPr>
          <w:t>, S (2015) Evaluating stable isotopic signals at bivalve Pinna nobilis under different human pressures. Journal of Experimental Marine Biology and Ecology 467: 77-86</w:t>
        </w:r>
      </w:hyperlink>
      <w:r w:rsidRPr="00CA591E">
        <w:rPr>
          <w:rFonts w:asciiTheme="minorHAnsi" w:eastAsia="Tw Cen MT" w:hAnsiTheme="minorHAnsi" w:cs="Arial"/>
          <w:sz w:val="16"/>
          <w:szCs w:val="16"/>
        </w:rPr>
        <w:t xml:space="preserve"> </w:t>
      </w:r>
    </w:p>
    <w:p w:rsidR="003669C6" w:rsidRPr="00CA591E" w:rsidRDefault="003669C6" w:rsidP="004130A4">
      <w:pPr>
        <w:pStyle w:val="Paragraphedeliste"/>
        <w:numPr>
          <w:ilvl w:val="0"/>
          <w:numId w:val="1"/>
        </w:numPr>
        <w:autoSpaceDE w:val="0"/>
        <w:autoSpaceDN w:val="0"/>
        <w:adjustRightInd w:val="0"/>
        <w:spacing w:before="100" w:beforeAutospacing="1" w:line="240" w:lineRule="auto"/>
        <w:ind w:right="57"/>
        <w:rPr>
          <w:rFonts w:asciiTheme="minorHAnsi" w:eastAsia="Tw Cen MT" w:hAnsiTheme="minorHAnsi" w:cs="Arial"/>
          <w:sz w:val="16"/>
          <w:szCs w:val="16"/>
        </w:rPr>
      </w:pPr>
      <w:hyperlink r:id="rId9" w:history="1">
        <w:proofErr w:type="spellStart"/>
        <w:r w:rsidRPr="00CA591E">
          <w:rPr>
            <w:rFonts w:asciiTheme="minorHAnsi" w:eastAsia="Tw Cen MT" w:hAnsiTheme="minorHAnsi" w:cs="Arial"/>
            <w:sz w:val="16"/>
            <w:szCs w:val="16"/>
          </w:rPr>
          <w:t>Jebali</w:t>
        </w:r>
        <w:proofErr w:type="spellEnd"/>
        <w:r w:rsidRPr="00CA591E">
          <w:rPr>
            <w:rFonts w:asciiTheme="minorHAnsi" w:eastAsia="Tw Cen MT" w:hAnsiTheme="minorHAnsi" w:cs="Arial"/>
            <w:sz w:val="16"/>
            <w:szCs w:val="16"/>
          </w:rPr>
          <w:t xml:space="preserve">, J., </w:t>
        </w:r>
        <w:proofErr w:type="spellStart"/>
        <w:r w:rsidRPr="00CA591E">
          <w:rPr>
            <w:rFonts w:asciiTheme="minorHAnsi" w:eastAsia="Tw Cen MT" w:hAnsiTheme="minorHAnsi" w:cs="Arial"/>
            <w:sz w:val="16"/>
            <w:szCs w:val="16"/>
          </w:rPr>
          <w:t>Chouba,L</w:t>
        </w:r>
        <w:proofErr w:type="spellEnd"/>
        <w:r w:rsidRPr="00CA591E">
          <w:rPr>
            <w:rFonts w:asciiTheme="minorHAnsi" w:eastAsia="Tw Cen MT" w:hAnsiTheme="minorHAnsi" w:cs="Arial"/>
            <w:sz w:val="16"/>
            <w:szCs w:val="16"/>
          </w:rPr>
          <w:t xml:space="preserve">., </w:t>
        </w:r>
        <w:proofErr w:type="spellStart"/>
        <w:r w:rsidRPr="00CA591E">
          <w:rPr>
            <w:rFonts w:asciiTheme="minorHAnsi" w:eastAsia="Tw Cen MT" w:hAnsiTheme="minorHAnsi" w:cs="Arial"/>
            <w:sz w:val="16"/>
            <w:szCs w:val="16"/>
          </w:rPr>
          <w:t>Banni,M</w:t>
        </w:r>
        <w:proofErr w:type="spellEnd"/>
        <w:r w:rsidRPr="00CA591E">
          <w:rPr>
            <w:rFonts w:asciiTheme="minorHAnsi" w:eastAsia="Tw Cen MT" w:hAnsiTheme="minorHAnsi" w:cs="Arial"/>
            <w:sz w:val="16"/>
            <w:szCs w:val="16"/>
          </w:rPr>
          <w:t xml:space="preserve">., </w:t>
        </w:r>
        <w:proofErr w:type="spellStart"/>
        <w:r w:rsidRPr="00CA591E">
          <w:rPr>
            <w:rFonts w:asciiTheme="minorHAnsi" w:eastAsia="Tw Cen MT" w:hAnsiTheme="minorHAnsi" w:cs="Arial"/>
            <w:sz w:val="16"/>
            <w:szCs w:val="16"/>
          </w:rPr>
          <w:t>Boussetta,H</w:t>
        </w:r>
        <w:proofErr w:type="spellEnd"/>
        <w:r w:rsidR="004130A4" w:rsidRPr="00CA591E">
          <w:rPr>
            <w:rFonts w:asciiTheme="minorHAnsi" w:eastAsia="Tw Cen MT" w:hAnsiTheme="minorHAnsi" w:cs="Arial"/>
            <w:sz w:val="16"/>
            <w:szCs w:val="16"/>
          </w:rPr>
          <w:t xml:space="preserve"> (2014)</w:t>
        </w:r>
        <w:r w:rsidRPr="00CA591E">
          <w:rPr>
            <w:rFonts w:asciiTheme="minorHAnsi" w:eastAsia="Tw Cen MT" w:hAnsiTheme="minorHAnsi" w:cs="Arial"/>
            <w:sz w:val="16"/>
            <w:szCs w:val="16"/>
          </w:rPr>
          <w:t xml:space="preserve"> Comparative study of the bioaccumulation and elimination of trace metals (Cd, Pb, Zn, </w:t>
        </w:r>
        <w:proofErr w:type="spellStart"/>
        <w:r w:rsidRPr="00CA591E">
          <w:rPr>
            <w:rFonts w:asciiTheme="minorHAnsi" w:eastAsia="Tw Cen MT" w:hAnsiTheme="minorHAnsi" w:cs="Arial"/>
            <w:sz w:val="16"/>
            <w:szCs w:val="16"/>
          </w:rPr>
          <w:t>Mn</w:t>
        </w:r>
        <w:proofErr w:type="spellEnd"/>
        <w:r w:rsidRPr="00CA591E">
          <w:rPr>
            <w:rFonts w:asciiTheme="minorHAnsi" w:eastAsia="Tw Cen MT" w:hAnsiTheme="minorHAnsi" w:cs="Arial"/>
            <w:sz w:val="16"/>
            <w:szCs w:val="16"/>
          </w:rPr>
          <w:t xml:space="preserve"> and Fe) in the digestive gland, gills and muscle of bivalve Pinna nobilis during a field trans- plant </w:t>
        </w:r>
        <w:proofErr w:type="spellStart"/>
        <w:r w:rsidR="008357C8" w:rsidRPr="00CA591E">
          <w:rPr>
            <w:rFonts w:asciiTheme="minorHAnsi" w:eastAsia="Tw Cen MT" w:hAnsiTheme="minorHAnsi" w:cs="Arial"/>
            <w:sz w:val="16"/>
            <w:szCs w:val="16"/>
          </w:rPr>
          <w:t>experiment.J.TraceElem.Med.Biol</w:t>
        </w:r>
        <w:proofErr w:type="spellEnd"/>
        <w:r w:rsidR="008357C8" w:rsidRPr="00CA591E">
          <w:rPr>
            <w:rFonts w:asciiTheme="minorHAnsi" w:eastAsia="Tw Cen MT" w:hAnsiTheme="minorHAnsi" w:cs="Arial"/>
            <w:sz w:val="16"/>
            <w:szCs w:val="16"/>
          </w:rPr>
          <w:t xml:space="preserve"> </w:t>
        </w:r>
        <w:r w:rsidRPr="00CA591E">
          <w:rPr>
            <w:rFonts w:asciiTheme="minorHAnsi" w:eastAsia="Tw Cen MT" w:hAnsiTheme="minorHAnsi" w:cs="Arial"/>
            <w:sz w:val="16"/>
            <w:szCs w:val="16"/>
          </w:rPr>
          <w:t>28,212–217</w:t>
        </w:r>
      </w:hyperlink>
      <w:r w:rsidRPr="00CA591E">
        <w:rPr>
          <w:rFonts w:asciiTheme="minorHAnsi" w:eastAsia="Tw Cen MT" w:hAnsiTheme="minorHAnsi" w:cs="Arial"/>
          <w:sz w:val="16"/>
          <w:szCs w:val="16"/>
        </w:rPr>
        <w:t>.</w:t>
      </w:r>
    </w:p>
    <w:p w:rsidR="007F04AC" w:rsidRPr="00CA591E" w:rsidRDefault="007F04AC" w:rsidP="008357C8">
      <w:pPr>
        <w:pStyle w:val="Paragraphedeliste"/>
        <w:numPr>
          <w:ilvl w:val="0"/>
          <w:numId w:val="1"/>
        </w:numPr>
        <w:autoSpaceDE w:val="0"/>
        <w:autoSpaceDN w:val="0"/>
        <w:adjustRightInd w:val="0"/>
        <w:spacing w:before="100" w:beforeAutospacing="1" w:line="240" w:lineRule="auto"/>
        <w:ind w:right="57"/>
        <w:rPr>
          <w:rFonts w:asciiTheme="minorHAnsi" w:eastAsia="Tw Cen MT" w:hAnsiTheme="minorHAnsi" w:cs="Arial"/>
          <w:sz w:val="16"/>
          <w:szCs w:val="16"/>
        </w:rPr>
      </w:pPr>
      <w:hyperlink r:id="rId10" w:history="1">
        <w:r w:rsidRPr="00CA591E">
          <w:rPr>
            <w:rFonts w:asciiTheme="minorHAnsi" w:eastAsia="Tw Cen MT" w:hAnsiTheme="minorHAnsi" w:cs="Arial"/>
            <w:sz w:val="16"/>
            <w:szCs w:val="16"/>
          </w:rPr>
          <w:t xml:space="preserve">Theodorou, J-A., </w:t>
        </w:r>
        <w:proofErr w:type="spellStart"/>
        <w:r w:rsidRPr="00CA591E">
          <w:rPr>
            <w:rFonts w:asciiTheme="minorHAnsi" w:eastAsia="Tw Cen MT" w:hAnsiTheme="minorHAnsi" w:cs="Arial"/>
            <w:sz w:val="16"/>
            <w:szCs w:val="16"/>
          </w:rPr>
          <w:t>Tagalis</w:t>
        </w:r>
        <w:proofErr w:type="spellEnd"/>
        <w:r w:rsidRPr="00CA591E">
          <w:rPr>
            <w:rFonts w:asciiTheme="minorHAnsi" w:eastAsia="Tw Cen MT" w:hAnsiTheme="minorHAnsi" w:cs="Arial"/>
            <w:sz w:val="16"/>
            <w:szCs w:val="16"/>
          </w:rPr>
          <w:t xml:space="preserve">, D., </w:t>
        </w:r>
        <w:proofErr w:type="spellStart"/>
        <w:r w:rsidRPr="00CA591E">
          <w:rPr>
            <w:rFonts w:asciiTheme="minorHAnsi" w:eastAsia="Tw Cen MT" w:hAnsiTheme="minorHAnsi" w:cs="Arial"/>
            <w:sz w:val="16"/>
            <w:szCs w:val="16"/>
          </w:rPr>
          <w:t>Τzοvenis</w:t>
        </w:r>
        <w:proofErr w:type="spellEnd"/>
        <w:r w:rsidRPr="00CA591E">
          <w:rPr>
            <w:rFonts w:asciiTheme="minorHAnsi" w:eastAsia="Tw Cen MT" w:hAnsiTheme="minorHAnsi" w:cs="Arial"/>
            <w:sz w:val="16"/>
            <w:szCs w:val="16"/>
          </w:rPr>
          <w:t xml:space="preserve">, L., </w:t>
        </w:r>
        <w:proofErr w:type="spellStart"/>
        <w:r w:rsidRPr="00CA591E">
          <w:rPr>
            <w:rFonts w:asciiTheme="minorHAnsi" w:eastAsia="Tw Cen MT" w:hAnsiTheme="minorHAnsi" w:cs="Arial"/>
            <w:sz w:val="16"/>
            <w:szCs w:val="16"/>
          </w:rPr>
          <w:t>Hellio</w:t>
        </w:r>
        <w:proofErr w:type="spellEnd"/>
        <w:r w:rsidRPr="00CA591E">
          <w:rPr>
            <w:rFonts w:asciiTheme="minorHAnsi" w:eastAsia="Tw Cen MT" w:hAnsiTheme="minorHAnsi" w:cs="Arial"/>
            <w:sz w:val="16"/>
            <w:szCs w:val="16"/>
          </w:rPr>
          <w:t xml:space="preserve">, C., </w:t>
        </w:r>
        <w:proofErr w:type="spellStart"/>
        <w:r w:rsidRPr="00CA591E">
          <w:rPr>
            <w:rFonts w:asciiTheme="minorHAnsi" w:eastAsia="Tw Cen MT" w:hAnsiTheme="minorHAnsi" w:cs="Arial"/>
            <w:sz w:val="16"/>
            <w:szCs w:val="16"/>
          </w:rPr>
          <w:t>Katselis</w:t>
        </w:r>
        <w:proofErr w:type="spellEnd"/>
        <w:r w:rsidRPr="00CA591E">
          <w:rPr>
            <w:rFonts w:asciiTheme="minorHAnsi" w:eastAsia="Tw Cen MT" w:hAnsiTheme="minorHAnsi" w:cs="Arial"/>
            <w:sz w:val="16"/>
            <w:szCs w:val="16"/>
          </w:rPr>
          <w:t xml:space="preserve">. </w:t>
        </w:r>
        <w:proofErr w:type="gramStart"/>
        <w:r w:rsidRPr="00CA591E">
          <w:rPr>
            <w:rFonts w:asciiTheme="minorHAnsi" w:eastAsia="Tw Cen MT" w:hAnsiTheme="minorHAnsi" w:cs="Arial"/>
            <w:sz w:val="16"/>
            <w:szCs w:val="16"/>
          </w:rPr>
          <w:t>G</w:t>
        </w:r>
        <w:r w:rsidR="004130A4" w:rsidRPr="00CA591E">
          <w:rPr>
            <w:rFonts w:asciiTheme="minorHAnsi" w:eastAsia="Tw Cen MT" w:hAnsiTheme="minorHAnsi" w:cs="Arial"/>
            <w:sz w:val="16"/>
            <w:szCs w:val="16"/>
          </w:rPr>
          <w:t>(</w:t>
        </w:r>
        <w:proofErr w:type="gramEnd"/>
        <w:r w:rsidRPr="00CA591E">
          <w:rPr>
            <w:rFonts w:asciiTheme="minorHAnsi" w:eastAsia="Tw Cen MT" w:hAnsiTheme="minorHAnsi" w:cs="Arial"/>
            <w:sz w:val="16"/>
            <w:szCs w:val="16"/>
          </w:rPr>
          <w:t xml:space="preserve"> 2017</w:t>
        </w:r>
        <w:r w:rsidR="004130A4" w:rsidRPr="00CA591E">
          <w:rPr>
            <w:rFonts w:asciiTheme="minorHAnsi" w:eastAsia="Tw Cen MT" w:hAnsiTheme="minorHAnsi" w:cs="Arial"/>
            <w:sz w:val="16"/>
            <w:szCs w:val="16"/>
          </w:rPr>
          <w:t xml:space="preserve">) </w:t>
        </w:r>
        <w:r w:rsidRPr="00CA591E">
          <w:rPr>
            <w:rFonts w:asciiTheme="minorHAnsi" w:eastAsia="Tw Cen MT" w:hAnsiTheme="minorHAnsi" w:cs="Arial"/>
            <w:sz w:val="16"/>
            <w:szCs w:val="16"/>
          </w:rPr>
          <w:t>Density and size structure of the endangered fan mussel Pinna nobilis (Linnaeus 1758), in the shallow water zone of Maliakos Gulf, Greece. ACTA ADRIAT 58(1): 63 – 76.</w:t>
        </w:r>
      </w:hyperlink>
    </w:p>
    <w:p w:rsidR="00E11FB5" w:rsidRPr="00CA591E" w:rsidRDefault="007F04AC" w:rsidP="004130A4">
      <w:pPr>
        <w:pStyle w:val="Paragraphedeliste"/>
        <w:numPr>
          <w:ilvl w:val="0"/>
          <w:numId w:val="1"/>
        </w:numPr>
        <w:tabs>
          <w:tab w:val="left" w:pos="384"/>
        </w:tabs>
        <w:spacing w:before="92" w:line="240" w:lineRule="auto"/>
        <w:ind w:hanging="283"/>
        <w:rPr>
          <w:rFonts w:asciiTheme="minorHAnsi" w:eastAsia="Tw Cen MT" w:hAnsiTheme="minorHAnsi" w:cs="Arial"/>
          <w:sz w:val="16"/>
          <w:szCs w:val="16"/>
        </w:rPr>
      </w:pPr>
      <w:hyperlink r:id="rId11" w:history="1">
        <w:r w:rsidRPr="00CA591E">
          <w:rPr>
            <w:rFonts w:asciiTheme="minorHAnsi" w:eastAsia="Tw Cen MT" w:hAnsiTheme="minorHAnsi" w:cs="Arial"/>
            <w:sz w:val="16"/>
            <w:szCs w:val="16"/>
          </w:rPr>
          <w:t xml:space="preserve">Vazquez-Luis, M., </w:t>
        </w:r>
        <w:proofErr w:type="spellStart"/>
        <w:r w:rsidRPr="00CA591E">
          <w:rPr>
            <w:rFonts w:asciiTheme="minorHAnsi" w:eastAsia="Tw Cen MT" w:hAnsiTheme="minorHAnsi" w:cs="Arial"/>
            <w:sz w:val="16"/>
            <w:szCs w:val="16"/>
          </w:rPr>
          <w:t>Morató</w:t>
        </w:r>
        <w:proofErr w:type="spellEnd"/>
        <w:r w:rsidRPr="00CA591E">
          <w:rPr>
            <w:rFonts w:asciiTheme="minorHAnsi" w:eastAsia="Tw Cen MT" w:hAnsiTheme="minorHAnsi" w:cs="Arial"/>
            <w:sz w:val="16"/>
            <w:szCs w:val="16"/>
          </w:rPr>
          <w:t xml:space="preserve">, M., </w:t>
        </w:r>
        <w:proofErr w:type="spellStart"/>
        <w:r w:rsidRPr="00CA591E">
          <w:rPr>
            <w:rFonts w:asciiTheme="minorHAnsi" w:eastAsia="Tw Cen MT" w:hAnsiTheme="minorHAnsi" w:cs="Arial"/>
            <w:sz w:val="16"/>
            <w:szCs w:val="16"/>
          </w:rPr>
          <w:t>Campillo</w:t>
        </w:r>
        <w:proofErr w:type="spellEnd"/>
        <w:r w:rsidRPr="00CA591E">
          <w:rPr>
            <w:rFonts w:asciiTheme="minorHAnsi" w:eastAsia="Tw Cen MT" w:hAnsiTheme="minorHAnsi" w:cs="Arial"/>
            <w:sz w:val="16"/>
            <w:szCs w:val="16"/>
          </w:rPr>
          <w:t xml:space="preserve">, J.A., </w:t>
        </w:r>
        <w:proofErr w:type="spellStart"/>
        <w:r w:rsidRPr="00CA591E">
          <w:rPr>
            <w:rFonts w:asciiTheme="minorHAnsi" w:eastAsia="Tw Cen MT" w:hAnsiTheme="minorHAnsi" w:cs="Arial"/>
            <w:sz w:val="16"/>
            <w:szCs w:val="16"/>
          </w:rPr>
          <w:t>Guitart</w:t>
        </w:r>
        <w:proofErr w:type="spellEnd"/>
        <w:r w:rsidRPr="00CA591E">
          <w:rPr>
            <w:rFonts w:asciiTheme="minorHAnsi" w:eastAsia="Tw Cen MT" w:hAnsiTheme="minorHAnsi" w:cs="Arial"/>
            <w:sz w:val="16"/>
            <w:szCs w:val="16"/>
          </w:rPr>
          <w:t xml:space="preserve">, C., </w:t>
        </w:r>
        <w:proofErr w:type="spellStart"/>
        <w:r w:rsidRPr="00CA591E">
          <w:rPr>
            <w:rFonts w:asciiTheme="minorHAnsi" w:eastAsia="Tw Cen MT" w:hAnsiTheme="minorHAnsi" w:cs="Arial"/>
            <w:sz w:val="16"/>
            <w:szCs w:val="16"/>
          </w:rPr>
          <w:t>Deudero</w:t>
        </w:r>
        <w:proofErr w:type="spellEnd"/>
        <w:r w:rsidRPr="00CA591E">
          <w:rPr>
            <w:rFonts w:asciiTheme="minorHAnsi" w:eastAsia="Tw Cen MT" w:hAnsiTheme="minorHAnsi" w:cs="Arial"/>
            <w:sz w:val="16"/>
            <w:szCs w:val="16"/>
          </w:rPr>
          <w:t>, S</w:t>
        </w:r>
        <w:r w:rsidR="004130A4" w:rsidRPr="00CA591E">
          <w:rPr>
            <w:rFonts w:asciiTheme="minorHAnsi" w:eastAsia="Tw Cen MT" w:hAnsiTheme="minorHAnsi" w:cs="Arial"/>
            <w:sz w:val="16"/>
            <w:szCs w:val="16"/>
          </w:rPr>
          <w:t>(</w:t>
        </w:r>
        <w:r w:rsidRPr="00CA591E">
          <w:rPr>
            <w:rFonts w:asciiTheme="minorHAnsi" w:eastAsia="Tw Cen MT" w:hAnsiTheme="minorHAnsi" w:cs="Arial"/>
            <w:sz w:val="16"/>
            <w:szCs w:val="16"/>
          </w:rPr>
          <w:t>2016</w:t>
        </w:r>
        <w:r w:rsidR="004130A4" w:rsidRPr="00CA591E">
          <w:rPr>
            <w:rFonts w:asciiTheme="minorHAnsi" w:eastAsia="Tw Cen MT" w:hAnsiTheme="minorHAnsi" w:cs="Arial"/>
            <w:sz w:val="16"/>
            <w:szCs w:val="16"/>
          </w:rPr>
          <w:t xml:space="preserve">) </w:t>
        </w:r>
        <w:r w:rsidRPr="00CA591E">
          <w:rPr>
            <w:rFonts w:asciiTheme="minorHAnsi" w:eastAsia="Tw Cen MT" w:hAnsiTheme="minorHAnsi" w:cs="Arial"/>
            <w:sz w:val="16"/>
            <w:szCs w:val="16"/>
          </w:rPr>
          <w:t>High metal contents in the fan mussel Pinna nobilis in the Balearic Archipelago (western Mediterranean Sea) and a review of concentra</w:t>
        </w:r>
        <w:r w:rsidRPr="00CA591E">
          <w:rPr>
            <w:rFonts w:asciiTheme="minorHAnsi" w:eastAsia="Tw Cen MT" w:hAnsiTheme="minorHAnsi" w:cs="Arial"/>
            <w:sz w:val="16"/>
            <w:szCs w:val="16"/>
          </w:rPr>
          <w:softHyphen/>
          <w:t>tions in marin</w:t>
        </w:r>
        <w:r w:rsidR="008357C8" w:rsidRPr="00CA591E">
          <w:rPr>
            <w:rFonts w:asciiTheme="minorHAnsi" w:eastAsia="Tw Cen MT" w:hAnsiTheme="minorHAnsi" w:cs="Arial"/>
            <w:sz w:val="16"/>
            <w:szCs w:val="16"/>
          </w:rPr>
          <w:t>e bivalves (</w:t>
        </w:r>
        <w:proofErr w:type="spellStart"/>
        <w:r w:rsidR="008357C8" w:rsidRPr="00CA591E">
          <w:rPr>
            <w:rFonts w:asciiTheme="minorHAnsi" w:eastAsia="Tw Cen MT" w:hAnsiTheme="minorHAnsi" w:cs="Arial"/>
            <w:sz w:val="16"/>
            <w:szCs w:val="16"/>
          </w:rPr>
          <w:t>Pinnidae</w:t>
        </w:r>
        <w:proofErr w:type="spellEnd"/>
        <w:r w:rsidR="008357C8" w:rsidRPr="00CA591E">
          <w:rPr>
            <w:rFonts w:asciiTheme="minorHAnsi" w:eastAsia="Tw Cen MT" w:hAnsiTheme="minorHAnsi" w:cs="Arial"/>
            <w:sz w:val="16"/>
            <w:szCs w:val="16"/>
          </w:rPr>
          <w:t xml:space="preserve">). Sci. </w:t>
        </w:r>
        <w:proofErr w:type="gramStart"/>
        <w:r w:rsidR="008357C8" w:rsidRPr="00CA591E">
          <w:rPr>
            <w:rFonts w:asciiTheme="minorHAnsi" w:eastAsia="Tw Cen MT" w:hAnsiTheme="minorHAnsi" w:cs="Arial"/>
            <w:sz w:val="16"/>
            <w:szCs w:val="16"/>
          </w:rPr>
          <w:t xml:space="preserve">Mar </w:t>
        </w:r>
        <w:r w:rsidRPr="00CA591E">
          <w:rPr>
            <w:rFonts w:asciiTheme="minorHAnsi" w:eastAsia="Tw Cen MT" w:hAnsiTheme="minorHAnsi" w:cs="Arial"/>
            <w:sz w:val="16"/>
            <w:szCs w:val="16"/>
          </w:rPr>
          <w:t xml:space="preserve"> 80</w:t>
        </w:r>
        <w:proofErr w:type="gramEnd"/>
        <w:r w:rsidRPr="00CA591E">
          <w:rPr>
            <w:rFonts w:asciiTheme="minorHAnsi" w:eastAsia="Tw Cen MT" w:hAnsiTheme="minorHAnsi" w:cs="Arial"/>
            <w:sz w:val="16"/>
            <w:szCs w:val="16"/>
          </w:rPr>
          <w:t>(1): 000-000.</w:t>
        </w:r>
      </w:hyperlink>
      <w:r w:rsidR="00E11FB5" w:rsidRPr="00CA591E">
        <w:rPr>
          <w:rFonts w:asciiTheme="minorHAnsi" w:eastAsia="Tw Cen MT" w:hAnsiTheme="minorHAnsi" w:cs="Arial"/>
          <w:sz w:val="16"/>
          <w:szCs w:val="16"/>
        </w:rPr>
        <w:t>.</w:t>
      </w:r>
    </w:p>
    <w:p w:rsidR="006C2AD5" w:rsidRPr="00CA591E" w:rsidRDefault="006C2AD5" w:rsidP="004130A4">
      <w:pPr>
        <w:pStyle w:val="Paragraphedeliste"/>
        <w:numPr>
          <w:ilvl w:val="0"/>
          <w:numId w:val="1"/>
        </w:numPr>
        <w:autoSpaceDE w:val="0"/>
        <w:autoSpaceDN w:val="0"/>
        <w:adjustRightInd w:val="0"/>
        <w:spacing w:before="100" w:beforeAutospacing="1" w:line="240" w:lineRule="auto"/>
        <w:ind w:right="57"/>
        <w:rPr>
          <w:rFonts w:asciiTheme="minorHAnsi" w:eastAsia="Tw Cen MT" w:hAnsiTheme="minorHAnsi" w:cs="Arial"/>
          <w:sz w:val="16"/>
          <w:szCs w:val="16"/>
        </w:rPr>
      </w:pPr>
      <w:hyperlink r:id="rId12" w:history="1">
        <w:r w:rsidRPr="00CA591E">
          <w:rPr>
            <w:rFonts w:asciiTheme="minorHAnsi" w:eastAsia="Tw Cen MT" w:hAnsiTheme="minorHAnsi" w:cs="Arial"/>
            <w:sz w:val="16"/>
            <w:szCs w:val="16"/>
          </w:rPr>
          <w:t xml:space="preserve">Zaaboub, N., </w:t>
        </w:r>
        <w:proofErr w:type="spellStart"/>
        <w:r w:rsidRPr="00CA591E">
          <w:rPr>
            <w:rFonts w:asciiTheme="minorHAnsi" w:eastAsia="Tw Cen MT" w:hAnsiTheme="minorHAnsi" w:cs="Arial"/>
            <w:sz w:val="16"/>
            <w:szCs w:val="16"/>
          </w:rPr>
          <w:t>Alves</w:t>
        </w:r>
        <w:proofErr w:type="spellEnd"/>
        <w:r w:rsidRPr="00CA591E">
          <w:rPr>
            <w:rFonts w:asciiTheme="minorHAnsi" w:eastAsia="Tw Cen MT" w:hAnsiTheme="minorHAnsi" w:cs="Arial"/>
            <w:sz w:val="16"/>
            <w:szCs w:val="16"/>
          </w:rPr>
          <w:t xml:space="preserve"> Martins, </w:t>
        </w:r>
        <w:proofErr w:type="gramStart"/>
        <w:r w:rsidRPr="00CA591E">
          <w:rPr>
            <w:rFonts w:asciiTheme="minorHAnsi" w:eastAsia="Tw Cen MT" w:hAnsiTheme="minorHAnsi" w:cs="Arial"/>
            <w:sz w:val="16"/>
            <w:szCs w:val="16"/>
          </w:rPr>
          <w:t>M.V .</w:t>
        </w:r>
        <w:proofErr w:type="gramEnd"/>
        <w:r w:rsidRPr="00CA591E">
          <w:rPr>
            <w:rFonts w:asciiTheme="minorHAnsi" w:eastAsia="Tw Cen MT" w:hAnsiTheme="minorHAnsi" w:cs="Arial"/>
            <w:sz w:val="16"/>
            <w:szCs w:val="16"/>
          </w:rPr>
          <w:t xml:space="preserve">, </w:t>
        </w:r>
        <w:proofErr w:type="spellStart"/>
        <w:r w:rsidRPr="00CA591E">
          <w:rPr>
            <w:rFonts w:asciiTheme="minorHAnsi" w:eastAsia="Tw Cen MT" w:hAnsiTheme="minorHAnsi" w:cs="Arial"/>
            <w:sz w:val="16"/>
            <w:szCs w:val="16"/>
          </w:rPr>
          <w:t>Dhib</w:t>
        </w:r>
        <w:proofErr w:type="spellEnd"/>
        <w:r w:rsidRPr="00CA591E">
          <w:rPr>
            <w:rFonts w:asciiTheme="minorHAnsi" w:eastAsia="Tw Cen MT" w:hAnsiTheme="minorHAnsi" w:cs="Arial"/>
            <w:sz w:val="16"/>
            <w:szCs w:val="16"/>
          </w:rPr>
          <w:t xml:space="preserve">, A., Bejaoui, B ., </w:t>
        </w:r>
        <w:proofErr w:type="spellStart"/>
        <w:r w:rsidRPr="00CA591E">
          <w:rPr>
            <w:rFonts w:asciiTheme="minorHAnsi" w:eastAsia="Tw Cen MT" w:hAnsiTheme="minorHAnsi" w:cs="Arial"/>
            <w:sz w:val="16"/>
            <w:szCs w:val="16"/>
          </w:rPr>
          <w:t>Galgani</w:t>
        </w:r>
        <w:proofErr w:type="spellEnd"/>
        <w:r w:rsidRPr="00CA591E">
          <w:rPr>
            <w:rFonts w:asciiTheme="minorHAnsi" w:eastAsia="Tw Cen MT" w:hAnsiTheme="minorHAnsi" w:cs="Arial"/>
            <w:sz w:val="16"/>
            <w:szCs w:val="16"/>
          </w:rPr>
          <w:t xml:space="preserve">, F., El </w:t>
        </w:r>
        <w:proofErr w:type="spellStart"/>
        <w:r w:rsidRPr="00CA591E">
          <w:rPr>
            <w:rFonts w:asciiTheme="minorHAnsi" w:eastAsia="Tw Cen MT" w:hAnsiTheme="minorHAnsi" w:cs="Arial"/>
            <w:sz w:val="16"/>
            <w:szCs w:val="16"/>
          </w:rPr>
          <w:t>Bour</w:t>
        </w:r>
        <w:proofErr w:type="spellEnd"/>
        <w:r w:rsidRPr="00CA591E">
          <w:rPr>
            <w:rFonts w:asciiTheme="minorHAnsi" w:eastAsia="Tw Cen MT" w:hAnsiTheme="minorHAnsi" w:cs="Arial"/>
            <w:sz w:val="16"/>
            <w:szCs w:val="16"/>
          </w:rPr>
          <w:t xml:space="preserve">, M., </w:t>
        </w:r>
        <w:proofErr w:type="spellStart"/>
        <w:r w:rsidRPr="00CA591E">
          <w:rPr>
            <w:rFonts w:asciiTheme="minorHAnsi" w:eastAsia="Tw Cen MT" w:hAnsiTheme="minorHAnsi" w:cs="Arial"/>
            <w:sz w:val="16"/>
            <w:szCs w:val="16"/>
          </w:rPr>
          <w:t>Aleya,L</w:t>
        </w:r>
        <w:proofErr w:type="spellEnd"/>
        <w:r w:rsidR="004130A4" w:rsidRPr="00CA591E">
          <w:rPr>
            <w:rFonts w:asciiTheme="minorHAnsi" w:eastAsia="Tw Cen MT" w:hAnsiTheme="minorHAnsi" w:cs="Arial"/>
            <w:sz w:val="16"/>
            <w:szCs w:val="16"/>
          </w:rPr>
          <w:t xml:space="preserve"> (</w:t>
        </w:r>
        <w:r w:rsidRPr="00CA591E">
          <w:rPr>
            <w:rFonts w:asciiTheme="minorHAnsi" w:eastAsia="Tw Cen MT" w:hAnsiTheme="minorHAnsi" w:cs="Arial"/>
            <w:sz w:val="16"/>
            <w:szCs w:val="16"/>
          </w:rPr>
          <w:t>2015</w:t>
        </w:r>
        <w:r w:rsidR="004130A4" w:rsidRPr="00CA591E">
          <w:rPr>
            <w:rFonts w:asciiTheme="minorHAnsi" w:eastAsia="Tw Cen MT" w:hAnsiTheme="minorHAnsi" w:cs="Arial"/>
            <w:sz w:val="16"/>
            <w:szCs w:val="16"/>
          </w:rPr>
          <w:t xml:space="preserve">) </w:t>
        </w:r>
        <w:r w:rsidRPr="00CA591E">
          <w:rPr>
            <w:rFonts w:asciiTheme="minorHAnsi" w:eastAsia="Tw Cen MT" w:hAnsiTheme="minorHAnsi" w:cs="Arial"/>
            <w:sz w:val="16"/>
            <w:szCs w:val="16"/>
          </w:rPr>
          <w:t>Accumulation of trace metals in sediments in a Mediterranean Lagoon: Usefulness of metal sediment fractionation and elutriate toxicity assessment. Environmental Pollution 207 226-237.</w:t>
        </w:r>
      </w:hyperlink>
    </w:p>
    <w:p w:rsidR="00E11FB5" w:rsidRPr="004130A4" w:rsidRDefault="00E11FB5" w:rsidP="00E11FB5">
      <w:pPr>
        <w:spacing w:line="200" w:lineRule="exact"/>
        <w:jc w:val="both"/>
        <w:rPr>
          <w:rFonts w:ascii="Arial" w:hAnsi="Calibri" w:cs="Arial"/>
          <w:sz w:val="14"/>
        </w:rPr>
        <w:sectPr w:rsidR="00E11FB5" w:rsidRPr="004130A4">
          <w:type w:val="continuous"/>
          <w:pgSz w:w="11910" w:h="16840"/>
          <w:pgMar w:top="1740" w:right="600" w:bottom="840" w:left="620" w:header="720" w:footer="720" w:gutter="0"/>
          <w:cols w:num="2" w:space="720" w:equalWidth="0">
            <w:col w:w="5214" w:space="138"/>
            <w:col w:w="5338"/>
          </w:cols>
        </w:sectPr>
      </w:pPr>
    </w:p>
    <w:p w:rsidR="00E11FB5" w:rsidRPr="004130A4" w:rsidRDefault="00E11FB5" w:rsidP="00E11FB5">
      <w:pPr>
        <w:pStyle w:val="Corpsdetexte"/>
        <w:rPr>
          <w:rFonts w:ascii="Arial" w:hAnsi="Calibri" w:cs="Arial"/>
          <w:sz w:val="14"/>
          <w:szCs w:val="22"/>
        </w:rPr>
      </w:pPr>
    </w:p>
    <w:p w:rsidR="00E11FB5" w:rsidRPr="004130A4" w:rsidRDefault="00E11FB5" w:rsidP="00E11FB5">
      <w:pPr>
        <w:pStyle w:val="Corpsdetexte"/>
        <w:spacing w:line="40" w:lineRule="exact"/>
        <w:ind w:left="2202"/>
        <w:rPr>
          <w:rFonts w:ascii="Arial" w:hAnsi="Calibri" w:cs="Arial"/>
          <w:sz w:val="14"/>
          <w:szCs w:val="22"/>
        </w:rPr>
      </w:pPr>
      <w:r w:rsidRPr="004130A4">
        <w:rPr>
          <w:rFonts w:ascii="Arial" w:hAnsi="Calibri" w:cs="Arial"/>
          <w:sz w:val="14"/>
          <w:szCs w:val="22"/>
        </w:rPr>
      </w:r>
      <w:r w:rsidRPr="004130A4">
        <w:rPr>
          <w:rFonts w:ascii="Arial" w:hAnsi="Calibri" w:cs="Arial"/>
          <w:sz w:val="14"/>
          <w:szCs w:val="22"/>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E11FB5" w:rsidRDefault="00CA591E" w:rsidP="004130A4">
      <w:pPr>
        <w:spacing w:before="92"/>
        <w:ind w:right="4234"/>
        <w:rPr>
          <w:rFonts w:ascii="Arial"/>
        </w:rPr>
      </w:pPr>
      <w:r>
        <w:rPr>
          <w:rFonts w:ascii="Times New Roman" w:hAnsi="Times New Roman" w:cs="Times New Roman"/>
          <w:noProof/>
          <w:sz w:val="24"/>
          <w:szCs w:val="24"/>
          <w:lang w:val="fr-FR" w:eastAsia="fr-FR"/>
        </w:rPr>
        <w:drawing>
          <wp:inline distT="0" distB="0" distL="0" distR="0">
            <wp:extent cx="576470" cy="542565"/>
            <wp:effectExtent l="19050" t="0" r="0" b="0"/>
            <wp:docPr id="2" name="Image 7" descr="C:\Users\hp\Desktop\49575778_339996216604358_86771535580317614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esktop\49575778_339996216604358_8677153558031761408_n.jpg"/>
                    <pic:cNvPicPr>
                      <a:picLocks noChangeAspect="1" noChangeArrowheads="1"/>
                    </pic:cNvPicPr>
                  </pic:nvPicPr>
                  <pic:blipFill>
                    <a:blip r:embed="rId13" cstate="print"/>
                    <a:srcRect/>
                    <a:stretch>
                      <a:fillRect/>
                    </a:stretch>
                  </pic:blipFill>
                  <pic:spPr bwMode="auto">
                    <a:xfrm>
                      <a:off x="0" y="0"/>
                      <a:ext cx="578842" cy="544797"/>
                    </a:xfrm>
                    <a:prstGeom prst="rect">
                      <a:avLst/>
                    </a:prstGeom>
                    <a:noFill/>
                    <a:ln w="9525">
                      <a:noFill/>
                      <a:miter lim="800000"/>
                      <a:headEnd/>
                      <a:tailEnd/>
                    </a:ln>
                  </pic:spPr>
                </pic:pic>
              </a:graphicData>
            </a:graphic>
          </wp:inline>
        </w:drawing>
      </w:r>
      <w:r>
        <w:rPr>
          <w:rFonts w:ascii="Arial"/>
          <w:color w:val="BF5A14"/>
        </w:rPr>
        <w:t xml:space="preserve"> </w:t>
      </w:r>
      <w:r w:rsidR="00E11FB5">
        <w:rPr>
          <w:rFonts w:ascii="Arial"/>
          <w:color w:val="BF5A14"/>
        </w:rPr>
        <w:t xml:space="preserve">Biography </w:t>
      </w:r>
    </w:p>
    <w:p w:rsidR="004130A4" w:rsidRPr="001D26F8" w:rsidRDefault="004130A4" w:rsidP="004130A4">
      <w:pPr>
        <w:rPr>
          <w:rFonts w:ascii="Arial" w:hAnsi="Calibri" w:cs="Arial"/>
          <w:sz w:val="14"/>
        </w:rPr>
      </w:pPr>
      <w:r w:rsidRPr="001D26F8">
        <w:rPr>
          <w:rFonts w:ascii="Arial" w:hAnsi="Calibri" w:cs="Arial"/>
          <w:sz w:val="14"/>
        </w:rPr>
        <w:t xml:space="preserve">Sarra Abidi is a Tunisian PhD student   in Biology at the University of El Manar Tunis (Tunisia), member of the laboratory of diversity management and conservation of biological systems. As part of her Ph.D. studies, she focuses contribution of the </w:t>
      </w:r>
      <w:proofErr w:type="spellStart"/>
      <w:r w:rsidRPr="001D26F8">
        <w:rPr>
          <w:rFonts w:ascii="Arial" w:hAnsi="Calibri" w:cs="Arial"/>
          <w:sz w:val="14"/>
        </w:rPr>
        <w:t>malacofauna</w:t>
      </w:r>
      <w:proofErr w:type="spellEnd"/>
      <w:r w:rsidRPr="001D26F8">
        <w:rPr>
          <w:rFonts w:ascii="Arial" w:hAnsi="Calibri" w:cs="Arial"/>
          <w:sz w:val="14"/>
        </w:rPr>
        <w:t xml:space="preserve"> in </w:t>
      </w:r>
      <w:proofErr w:type="spellStart"/>
      <w:r w:rsidRPr="001D26F8">
        <w:rPr>
          <w:rFonts w:ascii="Arial" w:hAnsi="Calibri" w:cs="Arial"/>
          <w:sz w:val="14"/>
        </w:rPr>
        <w:t>biomonotoring</w:t>
      </w:r>
      <w:proofErr w:type="spellEnd"/>
      <w:r w:rsidRPr="001D26F8">
        <w:rPr>
          <w:rFonts w:ascii="Arial" w:hAnsi="Calibri" w:cs="Arial"/>
          <w:sz w:val="14"/>
        </w:rPr>
        <w:t xml:space="preserve"> of southern Mediterranean lagoon: Bizerte lagoon and in quantifying industrials impacts that causing heavy metals pollution in aquatic ecosystems. She has her expertise in evaluation and passion in the environment protection. She is working to illuminate the various </w:t>
      </w:r>
      <w:proofErr w:type="gramStart"/>
      <w:r w:rsidRPr="001D26F8">
        <w:rPr>
          <w:rFonts w:ascii="Arial" w:hAnsi="Calibri" w:cs="Arial"/>
          <w:sz w:val="14"/>
        </w:rPr>
        <w:t>trade-</w:t>
      </w:r>
      <w:proofErr w:type="gramEnd"/>
      <w:r w:rsidRPr="001D26F8">
        <w:rPr>
          <w:rFonts w:ascii="Arial" w:hAnsi="Calibri" w:cs="Arial"/>
          <w:sz w:val="14"/>
        </w:rPr>
        <w:t xml:space="preserve">offs of biodiversity conservation and inform the industrials that are responsible to attribute on conservation on aquatic ecosystems. Sarra plans to continue her work on heavy metals industrials pollution in Tunisia, and is interested in assessing the implications of environmental policies on aquatic environment quality, energy use and human health.  </w:t>
      </w:r>
    </w:p>
    <w:p w:rsidR="00E11FB5" w:rsidRDefault="00E11FB5" w:rsidP="00A532BE">
      <w:pPr>
        <w:spacing w:before="62"/>
        <w:ind w:left="4217" w:right="4235"/>
        <w:jc w:val="center"/>
        <w:rPr>
          <w:rFonts w:ascii="Arial"/>
          <w:sz w:val="14"/>
        </w:rPr>
      </w:pPr>
      <w:r>
        <w:rPr>
          <w:rFonts w:ascii="Arial"/>
          <w:sz w:val="14"/>
        </w:rPr>
        <w:t xml:space="preserve">Email: </w:t>
      </w:r>
      <w:hyperlink r:id="rId14" w:history="1">
        <w:r w:rsidR="003669C6" w:rsidRPr="00955494">
          <w:rPr>
            <w:rStyle w:val="Lienhypertexte"/>
            <w:rFonts w:ascii="Arial"/>
            <w:sz w:val="14"/>
          </w:rPr>
          <w:t>sarra_sn@hotmail.fr</w:t>
        </w:r>
      </w:hyperlink>
    </w:p>
    <w:p w:rsidR="00E11FB5" w:rsidRDefault="00E11FB5" w:rsidP="00E11FB5">
      <w:pPr>
        <w:pStyle w:val="Corpsdetexte"/>
        <w:spacing w:before="2"/>
        <w:rPr>
          <w:rFonts w:ascii="Arial"/>
          <w:sz w:val="19"/>
        </w:rPr>
      </w:pPr>
      <w:r w:rsidRPr="00327DA8">
        <w:rPr>
          <w:noProof/>
          <w:lang w:val="en-IN" w:eastAsia="en-IN"/>
        </w:rPr>
        <w:pict>
          <v:line id="Line 3" o:spid="_x0000_s1028" style="position:absolute;z-index:25166028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E11FB5" w:rsidRDefault="00E11FB5" w:rsidP="00E11FB5">
      <w:pPr>
        <w:pStyle w:val="Corpsdetexte"/>
        <w:rPr>
          <w:rFonts w:ascii="Arial"/>
          <w:sz w:val="20"/>
        </w:rPr>
      </w:pPr>
    </w:p>
    <w:p w:rsidR="00E11FB5" w:rsidRDefault="00E11FB5" w:rsidP="00E11FB5">
      <w:pPr>
        <w:pStyle w:val="Corpsdetexte"/>
        <w:spacing w:before="7"/>
        <w:rPr>
          <w:rFonts w:ascii="Arial"/>
          <w:sz w:val="29"/>
        </w:rPr>
      </w:pPr>
    </w:p>
    <w:p w:rsidR="00E11FB5" w:rsidRPr="00B21A57" w:rsidRDefault="00E11FB5" w:rsidP="00E11FB5">
      <w:pPr>
        <w:spacing w:before="39"/>
        <w:ind w:left="100"/>
        <w:rPr>
          <w:rFonts w:ascii="Minion Pro"/>
          <w:b/>
          <w:sz w:val="20"/>
        </w:rPr>
      </w:pPr>
      <w:r w:rsidRPr="00B21A57">
        <w:rPr>
          <w:rFonts w:ascii="Minion Pro"/>
          <w:b/>
          <w:sz w:val="20"/>
        </w:rPr>
        <w:t>Notes/Comments:</w:t>
      </w:r>
    </w:p>
    <w:p w:rsidR="00E11FB5" w:rsidRDefault="00E11FB5" w:rsidP="00E11FB5">
      <w:pPr>
        <w:rPr>
          <w:rFonts w:ascii="Minion Pro"/>
          <w:sz w:val="24"/>
        </w:rPr>
        <w:sectPr w:rsidR="00E11FB5">
          <w:type w:val="continuous"/>
          <w:pgSz w:w="11910" w:h="16840"/>
          <w:pgMar w:top="1740" w:right="600" w:bottom="840" w:left="620" w:header="720" w:footer="720" w:gutter="0"/>
          <w:cols w:space="720"/>
        </w:sectPr>
      </w:pPr>
    </w:p>
    <w:p w:rsidR="00E11FB5" w:rsidRDefault="00E11FB5" w:rsidP="00E11FB5">
      <w:pPr>
        <w:pStyle w:val="Corpsdetexte"/>
        <w:spacing w:before="3"/>
        <w:rPr>
          <w:rFonts w:ascii="Minion Pro"/>
          <w:sz w:val="26"/>
        </w:rPr>
      </w:pPr>
    </w:p>
    <w:p w:rsidR="00115189" w:rsidRPr="00115189" w:rsidRDefault="00115189">
      <w:pPr>
        <w:rPr>
          <w:lang w:val="fr-FR"/>
        </w:rPr>
      </w:pPr>
    </w:p>
    <w:sectPr w:rsidR="00115189" w:rsidRPr="00115189"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67429">
    <w:pPr>
      <w:pStyle w:val="Corpsdetexte"/>
      <w:spacing w:line="14" w:lineRule="auto"/>
      <w:rPr>
        <w:sz w:val="20"/>
      </w:rPr>
    </w:pPr>
    <w:r w:rsidRPr="00327DA8">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76742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76742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327DA8">
      <w:rPr>
        <w:noProof/>
        <w:lang w:val="en-IN" w:eastAsia="en-IN"/>
      </w:rPr>
      <w:pict>
        <v:shape id="Text Box 2" o:spid="_x0000_s2052" type="#_x0000_t202" style="position:absolute;margin-left:252.1pt;margin-top:799.05pt;width:91.9pt;height:24.9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76742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76742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27DA8">
      <w:rPr>
        <w:noProof/>
        <w:lang w:val="en-IN" w:eastAsia="en-IN"/>
      </w:rPr>
      <w:pict>
        <v:shape id="Text Box 1" o:spid="_x0000_s2053" type="#_x0000_t202" style="position:absolute;margin-left:468.9pt;margin-top:798.8pt;width:91.4pt;height:26.0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76742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76742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67429">
    <w:pPr>
      <w:pStyle w:val="Corpsdetexte"/>
      <w:spacing w:line="14" w:lineRule="auto"/>
      <w:rPr>
        <w:sz w:val="20"/>
      </w:rPr>
    </w:pPr>
    <w:r w:rsidRPr="00327DA8">
      <w:rPr>
        <w:noProof/>
        <w:lang w:val="en-IN" w:eastAsia="en-IN"/>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E11FB5" w:rsidRDefault="00767429">
                <w:pPr>
                  <w:spacing w:before="2" w:line="249" w:lineRule="auto"/>
                  <w:ind w:left="156" w:right="18" w:hanging="137"/>
                  <w:rPr>
                    <w:rFonts w:ascii="Arial"/>
                    <w:color w:val="FFFFFF" w:themeColor="background1"/>
                    <w:sz w:val="14"/>
                    <w:lang w:val="fr-FR"/>
                  </w:rPr>
                </w:pPr>
                <w:r w:rsidRPr="00E11FB5">
                  <w:rPr>
                    <w:rFonts w:ascii="Arial"/>
                    <w:color w:val="FFFFFF" w:themeColor="background1"/>
                    <w:sz w:val="14"/>
                    <w:lang w:val="fr-FR"/>
                  </w:rPr>
                  <w:t xml:space="preserve">T Furuta et </w:t>
                </w:r>
                <w:proofErr w:type="gramStart"/>
                <w:r w:rsidRPr="00E11FB5">
                  <w:rPr>
                    <w:rFonts w:ascii="Arial"/>
                    <w:color w:val="FFFFFF" w:themeColor="background1"/>
                    <w:sz w:val="14"/>
                    <w:lang w:val="fr-FR"/>
                  </w:rPr>
                  <w:t>al.,</w:t>
                </w:r>
                <w:proofErr w:type="gramEnd"/>
                <w:r w:rsidRPr="00E11FB5">
                  <w:rPr>
                    <w:rFonts w:ascii="Arial"/>
                    <w:color w:val="FFFFFF" w:themeColor="background1"/>
                    <w:sz w:val="14"/>
                    <w:lang w:val="fr-FR"/>
                  </w:rPr>
                  <w:t xml:space="preserve"> J </w:t>
                </w:r>
                <w:proofErr w:type="spellStart"/>
                <w:r w:rsidRPr="00E11FB5">
                  <w:rPr>
                    <w:rFonts w:ascii="Arial"/>
                    <w:color w:val="FFFFFF" w:themeColor="background1"/>
                    <w:sz w:val="14"/>
                    <w:lang w:val="fr-FR"/>
                  </w:rPr>
                  <w:t>Pai</w:t>
                </w:r>
                <w:proofErr w:type="spellEnd"/>
                <w:r w:rsidRPr="00E11FB5">
                  <w:rPr>
                    <w:rFonts w:ascii="Arial"/>
                    <w:color w:val="FFFFFF" w:themeColor="background1"/>
                    <w:sz w:val="14"/>
                    <w:lang w:val="fr-FR"/>
                  </w:rPr>
                  <w:t xml:space="preserve"> n Relief 2016, 5:3(</w:t>
                </w:r>
                <w:proofErr w:type="spellStart"/>
                <w:r w:rsidRPr="00E11FB5">
                  <w:rPr>
                    <w:rFonts w:ascii="Arial"/>
                    <w:color w:val="FFFFFF" w:themeColor="background1"/>
                    <w:sz w:val="14"/>
                    <w:lang w:val="fr-FR"/>
                  </w:rPr>
                  <w:t>Suppl</w:t>
                </w:r>
                <w:proofErr w:type="spellEnd"/>
                <w:r w:rsidRPr="00E11FB5">
                  <w:rPr>
                    <w:rFonts w:ascii="Arial"/>
                    <w:color w:val="FFFFFF" w:themeColor="background1"/>
                    <w:sz w:val="14"/>
                    <w:lang w:val="fr-FR"/>
                  </w:rPr>
                  <w:t xml:space="preserve">) </w:t>
                </w:r>
                <w:hyperlink r:id="rId1">
                  <w:r w:rsidRPr="00E11FB5">
                    <w:rPr>
                      <w:rFonts w:ascii="Arial"/>
                      <w:color w:val="FFFFFF" w:themeColor="background1"/>
                      <w:sz w:val="14"/>
                      <w:lang w:val="fr-FR"/>
                    </w:rPr>
                    <w:t>http://dx.doi.org/10.4172/2167-0846.C1.006</w:t>
                  </w:r>
                </w:hyperlink>
              </w:p>
            </w:txbxContent>
          </v:textbox>
          <w10:wrap anchorx="page" anchory="page"/>
        </v:shape>
      </w:pict>
    </w:r>
    <w:r w:rsidRPr="00327DA8">
      <w:rPr>
        <w:noProof/>
        <w:lang w:val="en-IN" w:eastAsia="en-IN"/>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767429">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76742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w:t>
                </w:r>
                <w:r w:rsidRPr="005B3A56">
                  <w:rPr>
                    <w:rFonts w:ascii="Minion Pro"/>
                    <w:color w:val="FFFFFF" w:themeColor="background1"/>
                    <w:sz w:val="24"/>
                  </w:rPr>
                  <w:t>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hdrShapeDefaults>
    <o:shapedefaults v:ext="edit" spidmax="3074"/>
    <o:shapelayout v:ext="edit">
      <o:idmap v:ext="edit" data="2"/>
    </o:shapelayout>
  </w:hdrShapeDefaults>
  <w:compat/>
  <w:rsids>
    <w:rsidRoot w:val="00115189"/>
    <w:rsid w:val="00115189"/>
    <w:rsid w:val="001A687B"/>
    <w:rsid w:val="001C2311"/>
    <w:rsid w:val="00210799"/>
    <w:rsid w:val="003669C6"/>
    <w:rsid w:val="004130A4"/>
    <w:rsid w:val="00541750"/>
    <w:rsid w:val="005A41EE"/>
    <w:rsid w:val="006C2AD5"/>
    <w:rsid w:val="00767429"/>
    <w:rsid w:val="00797EBF"/>
    <w:rsid w:val="007B4720"/>
    <w:rsid w:val="007F04AC"/>
    <w:rsid w:val="008357C8"/>
    <w:rsid w:val="00844883"/>
    <w:rsid w:val="008518CD"/>
    <w:rsid w:val="0087337F"/>
    <w:rsid w:val="008C71E1"/>
    <w:rsid w:val="00991B73"/>
    <w:rsid w:val="009B149D"/>
    <w:rsid w:val="009E6EB8"/>
    <w:rsid w:val="00A4648C"/>
    <w:rsid w:val="00A532BE"/>
    <w:rsid w:val="00A830DD"/>
    <w:rsid w:val="00B518D2"/>
    <w:rsid w:val="00CA591E"/>
    <w:rsid w:val="00D2038E"/>
    <w:rsid w:val="00E11FB5"/>
    <w:rsid w:val="00E558A2"/>
    <w:rsid w:val="00F60B6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before="120" w:after="120"/>
        <w:ind w:left="340"/>
        <w:jc w:val="both"/>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11FB5"/>
    <w:pPr>
      <w:widowControl w:val="0"/>
      <w:spacing w:before="0" w:after="0"/>
      <w:ind w:left="0"/>
      <w:jc w:val="left"/>
    </w:pPr>
    <w:rPr>
      <w:rFonts w:ascii="Tw Cen MT" w:eastAsia="Tw Cen MT" w:hAnsi="Tw Cen MT" w:cs="Tw Cen MT"/>
      <w:lang w:val="en-US"/>
    </w:rPr>
  </w:style>
  <w:style w:type="paragraph" w:styleId="Titre1">
    <w:name w:val="heading 1"/>
    <w:basedOn w:val="Normal"/>
    <w:link w:val="Titre1Car"/>
    <w:uiPriority w:val="1"/>
    <w:qFormat/>
    <w:rsid w:val="00E11FB5"/>
    <w:pPr>
      <w:spacing w:before="47" w:line="400" w:lineRule="exact"/>
      <w:ind w:left="100"/>
      <w:outlineLvl w:val="0"/>
    </w:pPr>
    <w:rPr>
      <w:rFonts w:ascii="Minion Pro" w:eastAsia="Minion Pro" w:hAnsi="Minion Pro" w:cs="Minion Pro"/>
      <w:b/>
      <w:bCs/>
      <w:sz w:val="36"/>
      <w:szCs w:val="36"/>
    </w:rPr>
  </w:style>
  <w:style w:type="paragraph" w:styleId="Titre3">
    <w:name w:val="heading 3"/>
    <w:basedOn w:val="Normal"/>
    <w:link w:val="Titre3Car"/>
    <w:uiPriority w:val="1"/>
    <w:qFormat/>
    <w:rsid w:val="00E11FB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E11FB5"/>
    <w:rPr>
      <w:rFonts w:ascii="Minion Pro" w:eastAsia="Minion Pro" w:hAnsi="Minion Pro" w:cs="Minion Pro"/>
      <w:b/>
      <w:bCs/>
      <w:sz w:val="36"/>
      <w:szCs w:val="36"/>
      <w:lang w:val="en-US"/>
    </w:rPr>
  </w:style>
  <w:style w:type="character" w:customStyle="1" w:styleId="Titre3Car">
    <w:name w:val="Titre 3 Car"/>
    <w:basedOn w:val="Policepardfaut"/>
    <w:link w:val="Titre3"/>
    <w:uiPriority w:val="1"/>
    <w:rsid w:val="00E11FB5"/>
    <w:rPr>
      <w:rFonts w:ascii="Arial" w:eastAsia="Arial" w:hAnsi="Arial" w:cs="Arial"/>
      <w:b/>
      <w:bCs/>
      <w:sz w:val="20"/>
      <w:szCs w:val="20"/>
      <w:lang w:val="en-US"/>
    </w:rPr>
  </w:style>
  <w:style w:type="paragraph" w:styleId="Corpsdetexte">
    <w:name w:val="Body Text"/>
    <w:basedOn w:val="Normal"/>
    <w:link w:val="CorpsdetexteCar"/>
    <w:uiPriority w:val="1"/>
    <w:qFormat/>
    <w:rsid w:val="00E11FB5"/>
    <w:rPr>
      <w:sz w:val="18"/>
      <w:szCs w:val="18"/>
    </w:rPr>
  </w:style>
  <w:style w:type="character" w:customStyle="1" w:styleId="CorpsdetexteCar">
    <w:name w:val="Corps de texte Car"/>
    <w:basedOn w:val="Policepardfaut"/>
    <w:link w:val="Corpsdetexte"/>
    <w:uiPriority w:val="1"/>
    <w:rsid w:val="00E11FB5"/>
    <w:rPr>
      <w:rFonts w:ascii="Tw Cen MT" w:eastAsia="Tw Cen MT" w:hAnsi="Tw Cen MT" w:cs="Tw Cen MT"/>
      <w:sz w:val="18"/>
      <w:szCs w:val="18"/>
      <w:lang w:val="en-US"/>
    </w:rPr>
  </w:style>
  <w:style w:type="paragraph" w:styleId="Paragraphedeliste">
    <w:name w:val="List Paragraph"/>
    <w:basedOn w:val="Normal"/>
    <w:uiPriority w:val="34"/>
    <w:qFormat/>
    <w:rsid w:val="00E11FB5"/>
    <w:pPr>
      <w:spacing w:before="90" w:line="200" w:lineRule="exact"/>
      <w:ind w:left="383" w:hanging="283"/>
      <w:jc w:val="both"/>
    </w:pPr>
    <w:rPr>
      <w:rFonts w:ascii="Calibri" w:eastAsia="Calibri" w:hAnsi="Calibri" w:cs="Calibri"/>
    </w:rPr>
  </w:style>
  <w:style w:type="character" w:styleId="Lienhypertexte">
    <w:name w:val="Hyperlink"/>
    <w:basedOn w:val="Policepardfaut"/>
    <w:uiPriority w:val="99"/>
    <w:unhideWhenUsed/>
    <w:rsid w:val="00E11FB5"/>
    <w:rPr>
      <w:color w:val="0000FF" w:themeColor="hyperlink"/>
      <w:u w:val="single"/>
    </w:rPr>
  </w:style>
  <w:style w:type="paragraph" w:styleId="Textedebulles">
    <w:name w:val="Balloon Text"/>
    <w:basedOn w:val="Normal"/>
    <w:link w:val="TextedebullesCar"/>
    <w:uiPriority w:val="99"/>
    <w:semiHidden/>
    <w:unhideWhenUsed/>
    <w:rsid w:val="00E11FB5"/>
    <w:rPr>
      <w:rFonts w:ascii="Tahoma" w:hAnsi="Tahoma" w:cs="Tahoma"/>
      <w:sz w:val="16"/>
      <w:szCs w:val="16"/>
    </w:rPr>
  </w:style>
  <w:style w:type="character" w:customStyle="1" w:styleId="TextedebullesCar">
    <w:name w:val="Texte de bulles Car"/>
    <w:basedOn w:val="Policepardfaut"/>
    <w:link w:val="Textedebulles"/>
    <w:uiPriority w:val="99"/>
    <w:semiHidden/>
    <w:rsid w:val="00E11FB5"/>
    <w:rPr>
      <w:rFonts w:ascii="Tahoma" w:eastAsia="Tw Cen MT" w:hAnsi="Tahoma" w:cs="Tahoma"/>
      <w:sz w:val="16"/>
      <w:szCs w:val="16"/>
      <w:lang w:val="en-US"/>
    </w:rPr>
  </w:style>
  <w:style w:type="paragraph" w:customStyle="1" w:styleId="Stylesqrrq">
    <w:name w:val="Stylesqrrq"/>
    <w:basedOn w:val="Normal"/>
    <w:link w:val="StylesqrrqCar"/>
    <w:qFormat/>
    <w:rsid w:val="00B518D2"/>
    <w:pPr>
      <w:widowControl/>
      <w:autoSpaceDE w:val="0"/>
      <w:autoSpaceDN w:val="0"/>
      <w:adjustRightInd w:val="0"/>
      <w:spacing w:line="276" w:lineRule="auto"/>
      <w:jc w:val="both"/>
    </w:pPr>
    <w:rPr>
      <w:rFonts w:ascii="Times New Roman" w:eastAsia="Times New Roman" w:hAnsi="Times New Roman" w:cs="Times New Roman"/>
      <w:color w:val="000000"/>
      <w:sz w:val="24"/>
      <w:szCs w:val="24"/>
      <w:lang w:eastAsia="fr-FR"/>
    </w:rPr>
  </w:style>
  <w:style w:type="character" w:customStyle="1" w:styleId="StylesqrrqCar">
    <w:name w:val="Stylesqrrq Car"/>
    <w:basedOn w:val="Policepardfaut"/>
    <w:link w:val="Stylesqrrq"/>
    <w:rsid w:val="00B518D2"/>
    <w:rPr>
      <w:rFonts w:ascii="Times New Roman" w:eastAsia="Times New Roman" w:hAnsi="Times New Roman" w:cs="Times New Roman"/>
      <w:color w:val="000000"/>
      <w:sz w:val="24"/>
      <w:szCs w:val="24"/>
      <w:lang w:val="en-US" w:eastAsia="fr-FR"/>
    </w:rPr>
  </w:style>
  <w:style w:type="paragraph" w:customStyle="1" w:styleId="Default">
    <w:name w:val="Default"/>
    <w:link w:val="DefaultCar"/>
    <w:rsid w:val="00B518D2"/>
    <w:pPr>
      <w:autoSpaceDE w:val="0"/>
      <w:autoSpaceDN w:val="0"/>
      <w:adjustRightInd w:val="0"/>
      <w:spacing w:after="0"/>
    </w:pPr>
    <w:rPr>
      <w:rFonts w:ascii="Georgia" w:eastAsia="Times New Roman" w:hAnsi="Georgia" w:cs="Georgia"/>
      <w:color w:val="000000"/>
      <w:sz w:val="24"/>
      <w:szCs w:val="24"/>
      <w:lang w:eastAsia="fr-FR"/>
    </w:rPr>
  </w:style>
  <w:style w:type="character" w:customStyle="1" w:styleId="DefaultCar">
    <w:name w:val="Default Car"/>
    <w:basedOn w:val="Policepardfaut"/>
    <w:link w:val="Default"/>
    <w:rsid w:val="00B518D2"/>
    <w:rPr>
      <w:rFonts w:ascii="Georgia" w:eastAsia="Times New Roman" w:hAnsi="Georgia" w:cs="Georgia"/>
      <w:color w:val="000000"/>
      <w:sz w:val="24"/>
      <w:szCs w:val="24"/>
      <w:lang w:eastAsia="fr-FR"/>
    </w:rPr>
  </w:style>
  <w:style w:type="character" w:customStyle="1" w:styleId="A5">
    <w:name w:val="A5"/>
    <w:uiPriority w:val="99"/>
    <w:rsid w:val="003669C6"/>
    <w:rPr>
      <w:color w:val="000000"/>
      <w:sz w:val="19"/>
      <w:szCs w:val="19"/>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74679177_Evaluating_stable_isotopic_signals_in_bivalve_Pinna_nobilis_under_different_human_pressures" TargetMode="Externa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yperlink" Target="https://www.ncbi.nlm.nih.gov/pubmed/2641226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hyperlink" Target="https://www.researchgate.net/publication/289801499_High_metal_contents_in_the_fan_mussel_Pinna_nobilis_in_the_Balearic_Archipelago_western_Mediterranean_Sea_and_a_review_of_concentrations_in_marine_bivalves_Pinnidae" TargetMode="External"/><Relationship Id="rId5" Type="http://schemas.openxmlformats.org/officeDocument/2006/relationships/header" Target="header1.xml"/><Relationship Id="rId15" Type="http://schemas.openxmlformats.org/officeDocument/2006/relationships/fontTable" Target="fontTable.xml"/><Relationship Id="rId10" Type="http://schemas.openxmlformats.org/officeDocument/2006/relationships/hyperlink" Target="https://hrcak.srce.hr/file/272997" TargetMode="External"/><Relationship Id="rId4" Type="http://schemas.openxmlformats.org/officeDocument/2006/relationships/webSettings" Target="webSettings.xml"/><Relationship Id="rId9" Type="http://schemas.openxmlformats.org/officeDocument/2006/relationships/hyperlink" Target="https://www.sciencedirect.com/science/article/pii/S0946672X13001685" TargetMode="External"/><Relationship Id="rId14" Type="http://schemas.openxmlformats.org/officeDocument/2006/relationships/hyperlink" Target="mailto:sarra_sn@hotmail.fr"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hp\Desktop\pinna%20worming\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sz="900" b="1"/>
            </a:pPr>
            <a:r>
              <a:rPr lang="fr-FR"/>
              <a:t>Biplot (axes F1 et F2 : 76,25 %)</a:t>
            </a:r>
          </a:p>
        </c:rich>
      </c:tx>
    </c:title>
    <c:plotArea>
      <c:layout>
        <c:manualLayout>
          <c:layoutTarget val="inner"/>
          <c:xMode val="edge"/>
          <c:yMode val="edge"/>
          <c:x val="0.17067119445470355"/>
          <c:y val="0.13163115064845757"/>
          <c:w val="0.77210932325190751"/>
          <c:h val="0.5882342568760045"/>
        </c:manualLayout>
      </c:layout>
      <c:scatterChart>
        <c:scatterStyle val="lineMarker"/>
        <c:ser>
          <c:idx val="0"/>
          <c:order val="0"/>
          <c:spPr>
            <a:ln w="28575">
              <a:noFill/>
            </a:ln>
            <a:effectLst/>
          </c:spPr>
          <c:marker>
            <c:symbol val="circle"/>
            <c:size val="3"/>
            <c:spPr>
              <a:solidFill>
                <a:srgbClr val="000078"/>
              </a:solidFill>
              <a:ln>
                <a:solidFill>
                  <a:srgbClr val="000078"/>
                </a:solidFill>
                <a:prstDash val="solid"/>
              </a:ln>
            </c:spPr>
          </c:marker>
          <c:dLbls>
            <c:dLbl>
              <c:idx val="0"/>
              <c:tx>
                <c:rich>
                  <a:bodyPr/>
                  <a:lstStyle/>
                  <a:p>
                    <a:r>
                      <a:rPr lang="fr-FR"/>
                      <a:t>CA</a:t>
                    </a:r>
                  </a:p>
                </c:rich>
              </c:tx>
              <c:showVal val="1"/>
            </c:dLbl>
            <c:dLbl>
              <c:idx val="1"/>
              <c:tx>
                <c:rich>
                  <a:bodyPr/>
                  <a:lstStyle/>
                  <a:p>
                    <a:r>
                      <a:rPr lang="fr-FR"/>
                      <a:t>ECH</a:t>
                    </a:r>
                  </a:p>
                </c:rich>
              </c:tx>
              <c:showVal val="1"/>
            </c:dLbl>
            <c:dLbl>
              <c:idx val="2"/>
              <c:tx>
                <c:rich>
                  <a:bodyPr/>
                  <a:lstStyle/>
                  <a:p>
                    <a:r>
                      <a:rPr lang="fr-FR"/>
                      <a:t>Fr</a:t>
                    </a:r>
                  </a:p>
                </c:rich>
              </c:tx>
              <c:showVal val="1"/>
            </c:dLbl>
            <c:dLbl>
              <c:idx val="3"/>
              <c:tx>
                <c:rich>
                  <a:bodyPr/>
                  <a:lstStyle/>
                  <a:p>
                    <a:r>
                      <a:rPr lang="fr-FR"/>
                      <a:t>MB</a:t>
                    </a:r>
                  </a:p>
                </c:rich>
              </c:tx>
              <c:showVal val="1"/>
            </c:dLbl>
            <c:dLbl>
              <c:idx val="4"/>
              <c:tx>
                <c:rich>
                  <a:bodyPr/>
                  <a:lstStyle/>
                  <a:p>
                    <a:r>
                      <a:rPr lang="fr-FR"/>
                      <a:t>OG</a:t>
                    </a:r>
                  </a:p>
                </c:rich>
              </c:tx>
              <c:showVal val="1"/>
            </c:dLbl>
            <c:dLbl>
              <c:idx val="5"/>
              <c:tx>
                <c:rich>
                  <a:bodyPr/>
                  <a:lstStyle/>
                  <a:p>
                    <a:r>
                      <a:rPr lang="fr-FR"/>
                      <a:t>MJ</a:t>
                    </a:r>
                  </a:p>
                </c:rich>
              </c:tx>
              <c:showVal val="1"/>
            </c:dLbl>
            <c:dLbl>
              <c:idx val="6"/>
              <c:tx>
                <c:rich>
                  <a:bodyPr/>
                  <a:lstStyle/>
                  <a:p>
                    <a:r>
                      <a:rPr lang="fr-FR"/>
                      <a:t>MA</a:t>
                    </a:r>
                  </a:p>
                </c:rich>
              </c:tx>
              <c:showVal val="1"/>
            </c:dLbl>
            <c:dLbl>
              <c:idx val="7"/>
              <c:tx>
                <c:rich>
                  <a:bodyPr/>
                  <a:lstStyle/>
                  <a:p>
                    <a:r>
                      <a:rPr lang="fr-FR"/>
                      <a:t>JW</a:t>
                    </a:r>
                  </a:p>
                </c:rich>
              </c:tx>
              <c:showVal val="1"/>
            </c:dLbl>
            <c:txPr>
              <a:bodyPr/>
              <a:lstStyle/>
              <a:p>
                <a:pPr>
                  <a:defRPr sz="700"/>
                </a:pPr>
                <a:endParaRPr lang="fr-FR"/>
              </a:p>
            </c:txPr>
            <c:showVal val="1"/>
          </c:dLbls>
          <c:xVal>
            <c:numRef>
              <c:f>ACP4_HID!$B$2:$B$9</c:f>
              <c:numCache>
                <c:formatCode>0</c:formatCode>
                <c:ptCount val="8"/>
                <c:pt idx="0">
                  <c:v>0.50554092038808962</c:v>
                </c:pt>
                <c:pt idx="1">
                  <c:v>-8.4899957277379222E-3</c:v>
                </c:pt>
                <c:pt idx="2">
                  <c:v>-0.95708005349071146</c:v>
                </c:pt>
                <c:pt idx="3">
                  <c:v>1.9110806414516119</c:v>
                </c:pt>
                <c:pt idx="4">
                  <c:v>-1.2100246633807088</c:v>
                </c:pt>
                <c:pt idx="5">
                  <c:v>0.44908046499632626</c:v>
                </c:pt>
                <c:pt idx="6">
                  <c:v>2.3841889244147305E-2</c:v>
                </c:pt>
                <c:pt idx="7">
                  <c:v>-0.71394920348101854</c:v>
                </c:pt>
              </c:numCache>
            </c:numRef>
          </c:xVal>
          <c:yVal>
            <c:numRef>
              <c:f>ACP4_HID!$C$2:$C$9</c:f>
              <c:numCache>
                <c:formatCode>0</c:formatCode>
                <c:ptCount val="8"/>
                <c:pt idx="0">
                  <c:v>1.0728152352670177</c:v>
                </c:pt>
                <c:pt idx="1">
                  <c:v>0.35064022439078041</c:v>
                </c:pt>
                <c:pt idx="2">
                  <c:v>1.6745550920679471</c:v>
                </c:pt>
                <c:pt idx="3">
                  <c:v>-0.27606555822145434</c:v>
                </c:pt>
                <c:pt idx="4">
                  <c:v>-1.4471814696653831</c:v>
                </c:pt>
                <c:pt idx="5">
                  <c:v>-0.60112318408592658</c:v>
                </c:pt>
                <c:pt idx="6">
                  <c:v>-0.59992692595936636</c:v>
                </c:pt>
                <c:pt idx="7">
                  <c:v>-0.1737134137936058</c:v>
                </c:pt>
              </c:numCache>
            </c:numRef>
          </c:yVal>
        </c:ser>
        <c:ser>
          <c:idx val="1"/>
          <c:order val="1"/>
          <c:spPr>
            <a:ln w="28575">
              <a:noFill/>
            </a:ln>
            <a:effectLst/>
          </c:spPr>
          <c:marker>
            <c:symbol val="circle"/>
            <c:size val="3"/>
            <c:spPr>
              <a:solidFill>
                <a:srgbClr val="FF0000"/>
              </a:solidFill>
              <a:ln>
                <a:solidFill>
                  <a:srgbClr val="FF0000"/>
                </a:solidFill>
                <a:prstDash val="solid"/>
              </a:ln>
            </c:spPr>
          </c:marker>
          <c:dLbls>
            <c:dLbl>
              <c:idx val="0"/>
              <c:tx>
                <c:rich>
                  <a:bodyPr/>
                  <a:lstStyle/>
                  <a:p>
                    <a:r>
                      <a:rPr lang="fr-FR"/>
                      <a:t>Cd</a:t>
                    </a:r>
                  </a:p>
                </c:rich>
              </c:tx>
              <c:showVal val="1"/>
            </c:dLbl>
            <c:dLbl>
              <c:idx val="1"/>
              <c:tx>
                <c:rich>
                  <a:bodyPr/>
                  <a:lstStyle/>
                  <a:p>
                    <a:r>
                      <a:rPr lang="fr-FR"/>
                      <a:t>Pb</a:t>
                    </a:r>
                  </a:p>
                </c:rich>
              </c:tx>
              <c:showVal val="1"/>
            </c:dLbl>
            <c:dLbl>
              <c:idx val="2"/>
              <c:layout>
                <c:manualLayout>
                  <c:x val="0"/>
                  <c:y val="1.975945329067498E-2"/>
                </c:manualLayout>
              </c:layout>
              <c:tx>
                <c:rich>
                  <a:bodyPr/>
                  <a:lstStyle/>
                  <a:p>
                    <a:r>
                      <a:rPr lang="fr-FR"/>
                      <a:t>Zn</a:t>
                    </a:r>
                  </a:p>
                </c:rich>
              </c:tx>
              <c:showVal val="1"/>
            </c:dLbl>
            <c:dLbl>
              <c:idx val="3"/>
              <c:layout>
                <c:manualLayout>
                  <c:x val="2.4072166560843895E-2"/>
                  <c:y val="8.3748964703185547E-2"/>
                </c:manualLayout>
              </c:layout>
              <c:tx>
                <c:rich>
                  <a:bodyPr/>
                  <a:lstStyle/>
                  <a:p>
                    <a:r>
                      <a:rPr lang="fr-FR"/>
                      <a:t>Ni</a:t>
                    </a:r>
                  </a:p>
                </c:rich>
              </c:tx>
              <c:showVal val="1"/>
            </c:dLbl>
            <c:dLbl>
              <c:idx val="4"/>
              <c:tx>
                <c:rich>
                  <a:bodyPr/>
                  <a:lstStyle/>
                  <a:p>
                    <a:r>
                      <a:rPr lang="fr-FR"/>
                      <a:t>Cu</a:t>
                    </a:r>
                  </a:p>
                </c:rich>
              </c:tx>
              <c:showVal val="1"/>
            </c:dLbl>
            <c:dLbl>
              <c:idx val="5"/>
              <c:layout>
                <c:manualLayout>
                  <c:x val="7.0107544112183479E-2"/>
                  <c:y val="4.9246158705231989E-2"/>
                </c:manualLayout>
              </c:layout>
              <c:tx>
                <c:rich>
                  <a:bodyPr/>
                  <a:lstStyle/>
                  <a:p>
                    <a:r>
                      <a:rPr lang="fr-FR"/>
                      <a:t>Fe</a:t>
                    </a:r>
                  </a:p>
                </c:rich>
              </c:tx>
              <c:showVal val="1"/>
            </c:dLbl>
            <c:dLbl>
              <c:idx val="6"/>
              <c:layout>
                <c:manualLayout>
                  <c:x val="-0.24051587369095764"/>
                  <c:y val="-3.627648920672278E-2"/>
                </c:manualLayout>
              </c:layout>
              <c:tx>
                <c:rich>
                  <a:bodyPr/>
                  <a:lstStyle/>
                  <a:p>
                    <a:r>
                      <a:rPr lang="fr-FR"/>
                      <a:t>Dissolved oxygen O2</a:t>
                    </a:r>
                  </a:p>
                </c:rich>
              </c:tx>
              <c:showVal val="1"/>
            </c:dLbl>
            <c:dLbl>
              <c:idx val="7"/>
              <c:layout>
                <c:manualLayout>
                  <c:x val="-0.15037133093590319"/>
                  <c:y val="5.9075579130905609E-2"/>
                </c:manualLayout>
              </c:layout>
              <c:tx>
                <c:rich>
                  <a:bodyPr/>
                  <a:lstStyle/>
                  <a:p>
                    <a:r>
                      <a:rPr lang="fr-FR"/>
                      <a:t>Density/100m²</a:t>
                    </a:r>
                  </a:p>
                </c:rich>
              </c:tx>
              <c:showVal val="1"/>
            </c:dLbl>
            <c:dLbl>
              <c:idx val="8"/>
              <c:layout>
                <c:manualLayout>
                  <c:x val="1.2036108324974919E-2"/>
                  <c:y val="-2.4572658254691147E-2"/>
                </c:manualLayout>
              </c:layout>
              <c:tx>
                <c:rich>
                  <a:bodyPr/>
                  <a:lstStyle/>
                  <a:p>
                    <a:r>
                      <a:rPr lang="fr-FR"/>
                      <a:t>Temperature</a:t>
                    </a:r>
                  </a:p>
                </c:rich>
              </c:tx>
              <c:showVal val="1"/>
            </c:dLbl>
            <c:dLbl>
              <c:idx val="9"/>
              <c:layout>
                <c:manualLayout>
                  <c:x val="-4.0120361083249761E-2"/>
                  <c:y val="2.9487189905629398E-2"/>
                </c:manualLayout>
              </c:layout>
              <c:tx>
                <c:rich>
                  <a:bodyPr/>
                  <a:lstStyle/>
                  <a:p>
                    <a:r>
                      <a:rPr lang="fr-FR"/>
                      <a:t>Salinity</a:t>
                    </a:r>
                  </a:p>
                </c:rich>
              </c:tx>
              <c:showVal val="1"/>
            </c:dLbl>
            <c:txPr>
              <a:bodyPr/>
              <a:lstStyle/>
              <a:p>
                <a:pPr>
                  <a:defRPr sz="700"/>
                </a:pPr>
                <a:endParaRPr lang="fr-FR"/>
              </a:p>
            </c:txPr>
            <c:showVal val="1"/>
          </c:dLbls>
          <c:xVal>
            <c:numRef>
              <c:f>ACP4_HID!$I$2:$I$11</c:f>
              <c:numCache>
                <c:formatCode>0</c:formatCode>
                <c:ptCount val="10"/>
                <c:pt idx="0">
                  <c:v>0.87103885231883316</c:v>
                </c:pt>
                <c:pt idx="1">
                  <c:v>0.8378362040691123</c:v>
                </c:pt>
                <c:pt idx="2">
                  <c:v>0.79745537652328391</c:v>
                </c:pt>
                <c:pt idx="3">
                  <c:v>0.72851754791104928</c:v>
                </c:pt>
                <c:pt idx="4">
                  <c:v>0.5373740045469233</c:v>
                </c:pt>
                <c:pt idx="5">
                  <c:v>0.73608402731666833</c:v>
                </c:pt>
                <c:pt idx="6">
                  <c:v>-0.15058415577236112</c:v>
                </c:pt>
                <c:pt idx="7">
                  <c:v>-0.35355434535518371</c:v>
                </c:pt>
                <c:pt idx="8">
                  <c:v>0.73434579577987313</c:v>
                </c:pt>
                <c:pt idx="9">
                  <c:v>0.35212206908859017</c:v>
                </c:pt>
              </c:numCache>
            </c:numRef>
          </c:xVal>
          <c:yVal>
            <c:numRef>
              <c:f>ACP4_HID!$J$2:$J$11</c:f>
              <c:numCache>
                <c:formatCode>0</c:formatCode>
                <c:ptCount val="10"/>
                <c:pt idx="0">
                  <c:v>-6.8959240250944326E-2</c:v>
                </c:pt>
                <c:pt idx="1">
                  <c:v>0.19290563961893148</c:v>
                </c:pt>
                <c:pt idx="2">
                  <c:v>-0.1644634460837541</c:v>
                </c:pt>
                <c:pt idx="3">
                  <c:v>-0.12265346761335626</c:v>
                </c:pt>
                <c:pt idx="4">
                  <c:v>0.65523522907513998</c:v>
                </c:pt>
                <c:pt idx="5">
                  <c:v>3.3105726435338277E-3</c:v>
                </c:pt>
                <c:pt idx="6">
                  <c:v>0.78663051625484659</c:v>
                </c:pt>
                <c:pt idx="7">
                  <c:v>0.76814120957143384</c:v>
                </c:pt>
                <c:pt idx="8">
                  <c:v>0.28778185188194261</c:v>
                </c:pt>
                <c:pt idx="9">
                  <c:v>-0.16156489615379746</c:v>
                </c:pt>
              </c:numCache>
            </c:numRef>
          </c:yVal>
        </c:ser>
        <c:axId val="165900672"/>
        <c:axId val="165902976"/>
      </c:scatterChart>
      <c:valAx>
        <c:axId val="165900672"/>
        <c:scaling>
          <c:orientation val="minMax"/>
          <c:max val="2.5"/>
          <c:min val="-2.5"/>
        </c:scaling>
        <c:axPos val="b"/>
        <c:title>
          <c:tx>
            <c:rich>
              <a:bodyPr/>
              <a:lstStyle/>
              <a:p>
                <a:pPr>
                  <a:defRPr sz="800" b="1"/>
                </a:pPr>
                <a:r>
                  <a:rPr lang="fr-FR"/>
                  <a:t>F1 (53,36 %)</a:t>
                </a:r>
              </a:p>
            </c:rich>
          </c:tx>
        </c:title>
        <c:numFmt formatCode="General" sourceLinked="0"/>
        <c:majorTickMark val="cross"/>
        <c:tickLblPos val="low"/>
        <c:txPr>
          <a:bodyPr/>
          <a:lstStyle/>
          <a:p>
            <a:pPr>
              <a:defRPr sz="700"/>
            </a:pPr>
            <a:endParaRPr lang="fr-FR"/>
          </a:p>
        </c:txPr>
        <c:crossAx val="165902976"/>
        <c:crosses val="autoZero"/>
        <c:crossBetween val="midCat"/>
        <c:majorUnit val="0.5"/>
      </c:valAx>
      <c:valAx>
        <c:axId val="165902976"/>
        <c:scaling>
          <c:orientation val="minMax"/>
          <c:max val="2"/>
          <c:min val="-1.5"/>
        </c:scaling>
        <c:axPos val="l"/>
        <c:title>
          <c:tx>
            <c:rich>
              <a:bodyPr/>
              <a:lstStyle/>
              <a:p>
                <a:pPr>
                  <a:defRPr sz="800" b="1"/>
                </a:pPr>
                <a:r>
                  <a:rPr lang="fr-FR"/>
                  <a:t>F2 (22,89 %)</a:t>
                </a:r>
              </a:p>
            </c:rich>
          </c:tx>
        </c:title>
        <c:numFmt formatCode="General" sourceLinked="0"/>
        <c:majorTickMark val="cross"/>
        <c:tickLblPos val="low"/>
        <c:txPr>
          <a:bodyPr/>
          <a:lstStyle/>
          <a:p>
            <a:pPr>
              <a:defRPr sz="700"/>
            </a:pPr>
            <a:endParaRPr lang="fr-FR"/>
          </a:p>
        </c:txPr>
        <c:crossAx val="165900672"/>
        <c:crosses val="autoZero"/>
        <c:crossBetween val="midCat"/>
        <c:majorUnit val="0.5"/>
      </c:valAx>
      <c:spPr>
        <a:ln>
          <a:solidFill>
            <a:srgbClr val="808080"/>
          </a:solidFill>
          <a:prstDash val="solid"/>
        </a:ln>
      </c:spPr>
    </c:plotArea>
    <c:plotVisOnly val="1"/>
  </c:chart>
  <c:externalData r:id="rId1"/>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2948</TotalTime>
  <Pages>2</Pages>
  <Words>710</Words>
  <Characters>3909</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2018-12-28T19:22:00Z</dcterms:created>
  <dcterms:modified xsi:type="dcterms:W3CDTF">2018-12-31T09:36:00Z</dcterms:modified>
</cp:coreProperties>
</file>