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suppressAutoHyphens w:val="0"/>
        <w:bidi w:val="0"/>
        <w:spacing w:before="20" w:after="0" w:line="24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</w:rPr>
        <w:t>B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</w:rPr>
        <w:t>iodiversity as an economic value for the protection of ecosystems</w:t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Oldemar Carvalho Junior, Instituto Ekko Brasil, Brazil</w:t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Alesandra Bez Birolo, </w:t>
      </w:r>
      <w:r>
        <w:rPr>
          <w:rFonts w:ascii="Times New Roman" w:hAnsi="Times New Roman"/>
          <w:sz w:val="24"/>
          <w:szCs w:val="24"/>
          <w:u w:color="000000"/>
          <w:rtl w:val="0"/>
          <w:lang w:val="nl-NL"/>
        </w:rPr>
        <w:t>Instituto Ekko Brasil, Brazil</w:t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Abstract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suppressAutoHyphens w:val="0"/>
        <w:bidi w:val="0"/>
        <w:spacing w:before="20" w:after="0" w:line="24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Statement of the problem: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The preservation of ecosystems requires a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significant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demand for resources, such as personal, financial and infrastructure, which are increasingly difficult to justify due to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lack of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sustainability and restrictions of use.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Tourism could be a good response, however, w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hile goods and services that support visitation are relatively easy to account, other less tangible environmental services, such as biodiversity, can be difficult to be valued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. To evaluate these assets is important in order to take the best decisions for ecosystem management. In this work emergy is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applied to evaluate the natural capital, in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a conservation area in the south of Brazil.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The objective is to be able to predict the economic and environmental viability of the study area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for a conservation tourism proposal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Methodology &amp; Theoretical Orientation: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To place the value of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biodiversity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in perspective, emergy synthesis of the main storages and ecological processes in the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study area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are calculated.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For the evaluation of renewable inputs to the Peri Lake, solar energy, rainfall, runoff, and wind annual averages are used. Findings: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he highest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value is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recorded for biodiversity ($354 billion), shrub and herbaceous vegetation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represents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$14 billion emdollars, tree biomass $5.7 billion emdollars, and water extracted for supply $12,4 thousand emdollars.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Conclusion &amp; Significance: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Biodiversity clearly dominates the environmental assets of the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study area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Biodiversity represents the information of the ecosystem reflected in the diversity of the species.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It also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result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in a large input of grants from sponsors, driving most of the research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in the area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These results show that the local government strategy, focused only on water extraction is not a good one. Tourism conservation based on natural assets, for example, could be much more attractive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.</w:t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  <w:u w:color="000000"/>
          <w:rtl w:val="0"/>
        </w:rPr>
        <w:br w:type="page"/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Image</w:t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  <w:r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  <w:drawing>
          <wp:inline distT="0" distB="0" distL="0" distR="0">
            <wp:extent cx="6120057" cy="4369236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odiversidade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3692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o"/>
        <w:tabs>
          <w:tab w:val="left" w:pos="202"/>
          <w:tab w:val="left" w:pos="404"/>
          <w:tab w:val="left" w:pos="606"/>
          <w:tab w:val="left" w:pos="808"/>
          <w:tab w:val="left" w:pos="1010"/>
          <w:tab w:val="left" w:pos="1212"/>
          <w:tab w:val="left" w:pos="1414"/>
          <w:tab w:val="left" w:pos="1616"/>
          <w:tab w:val="left" w:pos="1818"/>
          <w:tab w:val="left" w:pos="2020"/>
          <w:tab w:val="left" w:pos="2222"/>
          <w:tab w:val="left" w:pos="2424"/>
          <w:tab w:val="left" w:pos="2626"/>
          <w:tab w:val="left" w:pos="2828"/>
          <w:tab w:val="left" w:pos="3030"/>
          <w:tab w:val="left" w:pos="3232"/>
          <w:tab w:val="left" w:pos="3434"/>
          <w:tab w:val="left" w:pos="3636"/>
          <w:tab w:val="left" w:pos="3838"/>
          <w:tab w:val="left" w:pos="4040"/>
          <w:tab w:val="left" w:pos="4242"/>
          <w:tab w:val="left" w:pos="4444"/>
          <w:tab w:val="left" w:pos="4646"/>
          <w:tab w:val="left" w:pos="4848"/>
          <w:tab w:val="left" w:pos="5050"/>
          <w:tab w:val="left" w:pos="5252"/>
          <w:tab w:val="left" w:pos="5454"/>
          <w:tab w:val="left" w:pos="5656"/>
          <w:tab w:val="left" w:pos="5858"/>
          <w:tab w:val="left" w:pos="6060"/>
          <w:tab w:val="left" w:pos="6262"/>
          <w:tab w:val="left" w:pos="6464"/>
          <w:tab w:val="left" w:pos="6666"/>
          <w:tab w:val="left" w:pos="6868"/>
          <w:tab w:val="left" w:pos="7070"/>
          <w:tab w:val="left" w:pos="7272"/>
          <w:tab w:val="left" w:pos="7474"/>
          <w:tab w:val="left" w:pos="7676"/>
          <w:tab w:val="left" w:pos="7878"/>
          <w:tab w:val="left" w:pos="8080"/>
          <w:tab w:val="left" w:pos="8282"/>
          <w:tab w:val="left" w:pos="8484"/>
          <w:tab w:val="left" w:pos="8686"/>
          <w:tab w:val="left" w:pos="8888"/>
          <w:tab w:val="left" w:pos="9090"/>
          <w:tab w:val="left" w:pos="9292"/>
          <w:tab w:val="left" w:pos="949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Figure 1. Energy-flow model for the study area, showing main driving energies, components, pathways of energy, material and information flows, and exports, taking into consideration the biodiversity.</w:t>
      </w: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Recent Publications</w:t>
      </w: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</w:rPr>
      </w:pPr>
    </w:p>
    <w:p>
      <w:pPr>
        <w:pStyle w:val="Padrão"/>
        <w:numPr>
          <w:ilvl w:val="0"/>
          <w:numId w:val="1"/>
        </w:numPr>
        <w:bidi w:val="0"/>
        <w:spacing w:after="240"/>
        <w:ind w:right="0"/>
        <w:jc w:val="both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Carvalho Junior O</w:t>
      </w:r>
      <w:r>
        <w:rPr>
          <w:rFonts w:ascii="Times New Roman" w:hAnsi="Times New Roman"/>
          <w:rtl w:val="0"/>
          <w:lang w:val="en-US"/>
        </w:rPr>
        <w:t>,</w:t>
      </w:r>
      <w:r>
        <w:rPr>
          <w:rFonts w:ascii="Times New Roman" w:hAnsi="Times New Roman"/>
          <w:rtl w:val="0"/>
          <w:lang w:val="pt-PT"/>
        </w:rPr>
        <w:t xml:space="preserve"> SilvaC</w:t>
      </w:r>
      <w:r>
        <w:rPr>
          <w:rFonts w:ascii="Times New Roman" w:hAnsi="Times New Roman"/>
          <w:rtl w:val="0"/>
          <w:lang w:val="en-US"/>
        </w:rPr>
        <w:t>,</w:t>
      </w:r>
      <w:r>
        <w:rPr>
          <w:rFonts w:ascii="Times New Roman" w:hAnsi="Times New Roman"/>
          <w:rtl w:val="0"/>
          <w:lang w:val="pt-PT"/>
        </w:rPr>
        <w:t xml:space="preserve"> PereiraW</w:t>
      </w:r>
      <w:r>
        <w:rPr>
          <w:rFonts w:ascii="Times New Roman" w:hAnsi="Times New Roman"/>
          <w:rtl w:val="0"/>
          <w:lang w:val="en-US"/>
        </w:rPr>
        <w:t>,</w:t>
      </w:r>
      <w:r>
        <w:rPr>
          <w:rFonts w:ascii="Times New Roman" w:hAnsi="Times New Roman"/>
          <w:rtl w:val="0"/>
          <w:lang w:val="es-ES_tradnl"/>
        </w:rPr>
        <w:t xml:space="preserve"> FonsecaVC</w:t>
      </w:r>
      <w:r>
        <w:rPr>
          <w:rFonts w:ascii="Times New Roman" w:hAnsi="Times New Roman"/>
          <w:rtl w:val="0"/>
          <w:lang w:val="en-US"/>
        </w:rPr>
        <w:t>,</w:t>
      </w:r>
      <w:r>
        <w:rPr>
          <w:rFonts w:ascii="Times New Roman" w:hAnsi="Times New Roman"/>
          <w:rtl w:val="0"/>
        </w:rPr>
        <w:t xml:space="preserve"> BiroloAB </w:t>
      </w:r>
      <w:r>
        <w:rPr>
          <w:rFonts w:ascii="Times New Roman" w:hAnsi="Times New Roman"/>
          <w:rtl w:val="0"/>
          <w:lang w:val="en-US"/>
        </w:rPr>
        <w:t>(</w:t>
      </w:r>
      <w:r>
        <w:rPr>
          <w:rFonts w:ascii="Times New Roman" w:hAnsi="Times New Roman"/>
          <w:rtl w:val="0"/>
        </w:rPr>
        <w:t>2017</w:t>
      </w:r>
      <w:r>
        <w:rPr>
          <w:rFonts w:ascii="Times New Roman" w:hAnsi="Times New Roman"/>
          <w:rtl w:val="0"/>
          <w:lang w:val="en-US"/>
        </w:rPr>
        <w:t>)</w:t>
      </w:r>
      <w:r>
        <w:rPr>
          <w:rFonts w:ascii="Times New Roman" w:hAnsi="Times New Roman"/>
          <w:rtl w:val="0"/>
          <w:lang w:val="en-US"/>
        </w:rPr>
        <w:t xml:space="preserve"> Environmental accounting of natural capital and ecosystem services for the Aquidauana River, Southern Pantanal, Brazil. Wulfenia 24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</w:rPr>
        <w:t>9.</w:t>
      </w:r>
    </w:p>
    <w:p>
      <w:pPr>
        <w:pStyle w:val="Padrão"/>
        <w:numPr>
          <w:ilvl w:val="0"/>
          <w:numId w:val="1"/>
        </w:numPr>
        <w:bidi w:val="0"/>
        <w:spacing w:after="24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Carvalho Junior O (2016) Emergy Analysis of the Peri Lake System and the Role of the Neotropical Otter. IJRRAS 29(1): 31-54.</w:t>
      </w:r>
    </w:p>
    <w:p>
      <w:pPr>
        <w:pStyle w:val="Padrão"/>
        <w:numPr>
          <w:ilvl w:val="0"/>
          <w:numId w:val="2"/>
        </w:numPr>
        <w:bidi w:val="0"/>
        <w:spacing w:after="240" w:line="280" w:lineRule="atLeast"/>
        <w:ind w:right="0"/>
        <w:jc w:val="both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Marmontel M, CalvimontesU</w:t>
      </w:r>
      <w:r>
        <w:rPr>
          <w:rFonts w:ascii="Times New Roman" w:hAnsi="Times New Roman"/>
          <w:rtl w:val="0"/>
          <w:lang w:val="en-US"/>
        </w:rPr>
        <w:t>,</w:t>
      </w:r>
      <w:r>
        <w:rPr>
          <w:rFonts w:ascii="Times New Roman" w:hAnsi="Times New Roman"/>
          <w:rtl w:val="0"/>
          <w:lang w:val="pt-PT"/>
        </w:rPr>
        <w:t xml:space="preserve"> Carvalho</w:t>
      </w:r>
      <w:r>
        <w:rPr>
          <w:rFonts w:ascii="Times New Roman" w:hAnsi="Times New Roman"/>
          <w:rtl w:val="0"/>
          <w:lang w:val="en-US"/>
        </w:rPr>
        <w:t>-JuniorO</w:t>
      </w:r>
      <w:r>
        <w:rPr>
          <w:rFonts w:ascii="Times New Roman" w:hAnsi="Times New Roman"/>
          <w:rtl w:val="0"/>
          <w:lang w:val="en-US"/>
        </w:rPr>
        <w:t xml:space="preserve"> (2015) Rediscovery of </w:t>
      </w:r>
      <w:r>
        <w:rPr>
          <w:rFonts w:ascii="Times New Roman" w:hAnsi="Times New Roman"/>
          <w:i w:val="1"/>
          <w:iCs w:val="1"/>
          <w:rtl w:val="0"/>
          <w:lang w:val="de-DE"/>
        </w:rPr>
        <w:t xml:space="preserve">Pteronura brasiliensis </w:t>
      </w:r>
      <w:r>
        <w:rPr>
          <w:rFonts w:ascii="Times New Roman" w:hAnsi="Times New Roman"/>
          <w:rtl w:val="0"/>
          <w:lang w:val="en-US"/>
        </w:rPr>
        <w:t>in the Aman</w:t>
      </w:r>
      <w:r>
        <w:rPr>
          <w:rFonts w:ascii="Times New Roman" w:hAnsi="Times New Roman" w:hint="default"/>
          <w:rtl w:val="0"/>
          <w:lang w:val="pt-PT"/>
        </w:rPr>
        <w:t xml:space="preserve">ã </w:t>
      </w:r>
      <w:r>
        <w:rPr>
          <w:rFonts w:ascii="Times New Roman" w:hAnsi="Times New Roman"/>
          <w:rtl w:val="0"/>
          <w:lang w:val="en-US"/>
        </w:rPr>
        <w:t>Sustainable Development Reserve, Amazonas, Brazil.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Latin American Journal of Aquatic Mammals 10(2): 147-151.</w:t>
      </w:r>
    </w:p>
    <w:p>
      <w:pPr>
        <w:pStyle w:val="Padrão"/>
        <w:numPr>
          <w:ilvl w:val="0"/>
          <w:numId w:val="1"/>
        </w:numPr>
        <w:bidi w:val="0"/>
        <w:spacing w:after="240"/>
        <w:ind w:right="0"/>
        <w:jc w:val="both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Carvalho-Junior O</w:t>
      </w:r>
      <w:r>
        <w:rPr>
          <w:rFonts w:ascii="Times New Roman" w:hAnsi="Times New Roman"/>
          <w:rtl w:val="0"/>
          <w:lang w:val="en-US"/>
        </w:rPr>
        <w:t xml:space="preserve">, </w:t>
      </w:r>
      <w:r>
        <w:rPr>
          <w:rFonts w:ascii="Times New Roman" w:hAnsi="Times New Roman"/>
          <w:rtl w:val="0"/>
          <w:lang w:val="pt-PT"/>
        </w:rPr>
        <w:t>Dutra</w:t>
      </w:r>
      <w:r>
        <w:rPr>
          <w:rFonts w:ascii="Times New Roman" w:hAnsi="Times New Roman"/>
          <w:rtl w:val="0"/>
          <w:lang w:val="en-US"/>
        </w:rPr>
        <w:t xml:space="preserve">PPC, </w:t>
      </w:r>
      <w:r>
        <w:rPr>
          <w:rFonts w:ascii="Times New Roman" w:hAnsi="Times New Roman"/>
          <w:rtl w:val="0"/>
          <w:lang w:val="pt-PT"/>
        </w:rPr>
        <w:t>Alves</w:t>
      </w:r>
      <w:r>
        <w:rPr>
          <w:rFonts w:ascii="Times New Roman" w:hAnsi="Times New Roman"/>
          <w:rtl w:val="0"/>
          <w:lang w:val="en-US"/>
        </w:rPr>
        <w:t xml:space="preserve">V, </w:t>
      </w:r>
      <w:r>
        <w:rPr>
          <w:rFonts w:ascii="Times New Roman" w:hAnsi="Times New Roman"/>
          <w:rtl w:val="0"/>
          <w:lang w:val="es-ES_tradnl"/>
        </w:rPr>
        <w:t>Ramos</w:t>
      </w:r>
      <w:r>
        <w:rPr>
          <w:rFonts w:ascii="Times New Roman" w:hAnsi="Times New Roman"/>
          <w:rtl w:val="0"/>
          <w:lang w:val="en-US"/>
        </w:rPr>
        <w:t xml:space="preserve">PR (2014) </w:t>
      </w:r>
      <w:r>
        <w:rPr>
          <w:rFonts w:ascii="Times New Roman" w:hAnsi="Times New Roman"/>
          <w:rtl w:val="0"/>
          <w:lang w:val="pt-PT"/>
        </w:rPr>
        <w:t>Projeto Ariranha: aplica</w:t>
      </w:r>
      <w:r>
        <w:rPr>
          <w:rFonts w:ascii="Times New Roman" w:hAnsi="Times New Roman" w:hint="default"/>
          <w:rtl w:val="0"/>
          <w:lang w:val="pt-PT"/>
        </w:rPr>
        <w:t>çã</w:t>
      </w:r>
      <w:r>
        <w:rPr>
          <w:rFonts w:ascii="Times New Roman" w:hAnsi="Times New Roman"/>
          <w:rtl w:val="0"/>
        </w:rPr>
        <w:t>o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pt-PT"/>
        </w:rPr>
        <w:t>do gerenciamento de projetos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pt-PT"/>
        </w:rPr>
        <w:t xml:space="preserve">visando </w:t>
      </w:r>
      <w:r>
        <w:rPr>
          <w:rFonts w:ascii="Times New Roman" w:hAnsi="Times New Roman" w:hint="default"/>
          <w:rtl w:val="0"/>
          <w:lang w:val="fr-FR"/>
        </w:rPr>
        <w:t xml:space="preserve">à </w:t>
      </w:r>
      <w:r>
        <w:rPr>
          <w:rFonts w:ascii="Times New Roman" w:hAnsi="Times New Roman"/>
          <w:rtl w:val="0"/>
          <w:lang w:val="fr-FR"/>
        </w:rPr>
        <w:t>conserva</w:t>
      </w:r>
      <w:r>
        <w:rPr>
          <w:rFonts w:ascii="Times New Roman" w:hAnsi="Times New Roman" w:hint="default"/>
          <w:rtl w:val="0"/>
          <w:lang w:val="pt-PT"/>
        </w:rPr>
        <w:t>çã</w:t>
      </w:r>
      <w:r>
        <w:rPr>
          <w:rFonts w:ascii="Times New Roman" w:hAnsi="Times New Roman"/>
          <w:rtl w:val="0"/>
          <w:lang w:val="it-IT"/>
        </w:rPr>
        <w:t>o da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pt-PT"/>
        </w:rPr>
        <w:t>biodiversidade</w:t>
      </w:r>
      <w:r>
        <w:rPr>
          <w:rFonts w:ascii="Times New Roman" w:hAnsi="Times New Roman"/>
          <w:rtl w:val="0"/>
          <w:lang w:val="en-US"/>
        </w:rPr>
        <w:t xml:space="preserve">. </w:t>
      </w:r>
      <w:r>
        <w:rPr>
          <w:rFonts w:ascii="Times New Roman" w:hAnsi="Times New Roman"/>
          <w:rtl w:val="0"/>
          <w:lang w:val="pt-PT"/>
        </w:rPr>
        <w:t>Navus - Revista de Gest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  <w:lang w:val="it-IT"/>
        </w:rPr>
        <w:t>o e Tecnologia 4</w:t>
      </w:r>
      <w:r>
        <w:rPr>
          <w:rFonts w:ascii="Times New Roman" w:hAnsi="Times New Roman"/>
          <w:rtl w:val="0"/>
          <w:lang w:val="en-US"/>
        </w:rPr>
        <w:t>(</w:t>
      </w:r>
      <w:r>
        <w:rPr>
          <w:rFonts w:ascii="Times New Roman" w:hAnsi="Times New Roman"/>
          <w:rtl w:val="0"/>
        </w:rPr>
        <w:t>2</w:t>
      </w:r>
      <w:r>
        <w:rPr>
          <w:rFonts w:ascii="Times New Roman" w:hAnsi="Times New Roman"/>
          <w:rtl w:val="0"/>
          <w:lang w:val="en-US"/>
        </w:rPr>
        <w:t>):</w:t>
      </w:r>
      <w:r>
        <w:rPr>
          <w:rFonts w:ascii="Times New Roman" w:hAnsi="Times New Roman"/>
          <w:rtl w:val="0"/>
        </w:rPr>
        <w:t>33-49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Padrão"/>
        <w:numPr>
          <w:ilvl w:val="0"/>
          <w:numId w:val="2"/>
        </w:numPr>
        <w:bidi w:val="0"/>
        <w:spacing w:after="240" w:line="280" w:lineRule="atLeast"/>
        <w:ind w:right="0"/>
        <w:jc w:val="both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Rodrigues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/>
          <w:rtl w:val="0"/>
          <w:lang w:val="en-US"/>
        </w:rPr>
        <w:t>A</w:t>
      </w:r>
      <w:r>
        <w:rPr>
          <w:rFonts w:ascii="Times New Roman" w:hAnsi="Times New Roman"/>
          <w:rtl w:val="0"/>
          <w:lang w:val="de-DE"/>
        </w:rPr>
        <w:t>R, Leuchtenberge</w:t>
      </w:r>
      <w:r>
        <w:rPr>
          <w:rFonts w:ascii="Times New Roman" w:hAnsi="Times New Roman"/>
          <w:rtl w:val="0"/>
          <w:lang w:val="en-US"/>
        </w:rPr>
        <w:t>rC</w:t>
      </w:r>
      <w:r>
        <w:rPr>
          <w:rFonts w:ascii="Times New Roman" w:hAnsi="Times New Roman"/>
          <w:rtl w:val="0"/>
          <w:lang w:val="pt-PT"/>
        </w:rPr>
        <w:t>, KasperCB, Carvalho</w:t>
      </w:r>
      <w:r>
        <w:rPr>
          <w:rFonts w:ascii="Times New Roman" w:hAnsi="Times New Roman"/>
          <w:rtl w:val="0"/>
          <w:lang w:val="en-US"/>
        </w:rPr>
        <w:t>-</w:t>
      </w:r>
      <w:r>
        <w:rPr>
          <w:rFonts w:ascii="Times New Roman" w:hAnsi="Times New Roman"/>
          <w:rtl w:val="0"/>
          <w:lang w:val="de-DE"/>
        </w:rPr>
        <w:t>Junior</w:t>
      </w:r>
      <w:r>
        <w:rPr>
          <w:rFonts w:ascii="Times New Roman" w:hAnsi="Times New Roman"/>
          <w:rtl w:val="0"/>
          <w:lang w:val="en-US"/>
        </w:rPr>
        <w:t>O,</w:t>
      </w:r>
      <w:r>
        <w:rPr>
          <w:rFonts w:ascii="Times New Roman" w:hAnsi="Times New Roman"/>
          <w:position w:val="8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en-US"/>
        </w:rPr>
        <w:t>Fonseca da Silva</w:t>
      </w:r>
      <w:r>
        <w:rPr>
          <w:rFonts w:ascii="Times New Roman" w:hAnsi="Times New Roman"/>
          <w:rtl w:val="0"/>
        </w:rPr>
        <w:t>VC</w:t>
      </w:r>
      <w:r>
        <w:rPr>
          <w:rFonts w:ascii="Times New Roman" w:hAnsi="Times New Roman"/>
          <w:rtl w:val="0"/>
          <w:lang w:val="en-US"/>
        </w:rPr>
        <w:t xml:space="preserve"> (2013) </w:t>
      </w:r>
      <w:r>
        <w:rPr>
          <w:rFonts w:ascii="Times New Roman" w:hAnsi="Times New Roman"/>
          <w:position w:val="8"/>
          <w:vertAlign w:val="superscript"/>
          <w:rtl w:val="0"/>
          <w:lang w:val="en-US"/>
        </w:rPr>
        <w:t>.</w:t>
      </w:r>
      <w:r>
        <w:rPr>
          <w:rFonts w:ascii="Times New Roman" w:hAnsi="Times New Roman"/>
          <w:rtl w:val="0"/>
          <w:lang w:val="pt-PT"/>
        </w:rPr>
        <w:t>Avalia</w:t>
      </w:r>
      <w:r>
        <w:rPr>
          <w:rFonts w:ascii="Times New Roman" w:hAnsi="Times New Roman" w:hint="default"/>
          <w:rtl w:val="0"/>
          <w:lang w:val="pt-PT"/>
        </w:rPr>
        <w:t>çã</w:t>
      </w:r>
      <w:r>
        <w:rPr>
          <w:rFonts w:ascii="Times New Roman" w:hAnsi="Times New Roman"/>
          <w:rtl w:val="0"/>
          <w:lang w:val="pt-PT"/>
        </w:rPr>
        <w:t>o do risco de extin</w:t>
      </w:r>
      <w:r>
        <w:rPr>
          <w:rFonts w:ascii="Times New Roman" w:hAnsi="Times New Roman" w:hint="default"/>
          <w:rtl w:val="0"/>
          <w:lang w:val="pt-PT"/>
        </w:rPr>
        <w:t>çã</w:t>
      </w:r>
      <w:r>
        <w:rPr>
          <w:rFonts w:ascii="Times New Roman" w:hAnsi="Times New Roman"/>
          <w:rtl w:val="0"/>
          <w:lang w:val="it-IT"/>
        </w:rPr>
        <w:t>o da Lontra neotropical Lontra longicaudis (Olfers, 1818) no Brasil</w:t>
      </w:r>
      <w:r>
        <w:rPr>
          <w:rFonts w:ascii="Times New Roman" w:hAnsi="Times New Roman"/>
          <w:rtl w:val="0"/>
          <w:lang w:val="en-US"/>
        </w:rPr>
        <w:t xml:space="preserve">. </w:t>
      </w:r>
      <w:r>
        <w:rPr>
          <w:rFonts w:ascii="Times New Roman" w:hAnsi="Times New Roman"/>
          <w:rtl w:val="0"/>
          <w:lang w:val="pt-PT"/>
        </w:rPr>
        <w:t>Biodiversidade Brasileira 3(1)</w:t>
      </w:r>
      <w:r>
        <w:rPr>
          <w:rFonts w:ascii="Times New Roman" w:hAnsi="Times New Roman"/>
          <w:rtl w:val="0"/>
          <w:lang w:val="en-US"/>
        </w:rPr>
        <w:t>:</w:t>
      </w:r>
      <w:r>
        <w:rPr>
          <w:rFonts w:ascii="Times New Roman" w:hAnsi="Times New Roman"/>
          <w:rtl w:val="0"/>
        </w:rPr>
        <w:t xml:space="preserve"> 216-227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>
          <wp:inline distT="0" distB="0" distL="0" distR="0">
            <wp:extent cx="1305058" cy="197085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DSC9219_590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58" cy="19708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Biography</w:t>
      </w:r>
    </w:p>
    <w:p>
      <w:pPr>
        <w:pStyle w:val="Corpo"/>
        <w:ind w:left="567" w:right="5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ind w:left="567" w:right="567" w:firstLine="0"/>
        <w:jc w:val="both"/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Oldemar Carvalho Junior has his expertise in Neotropical otters, energetic modeling and physics of the environment. He is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responsible for implementing the first and only Latin America Scientific Breeding for Research of the Mustelidae family. Over the past 10 years, </w:t>
      </w:r>
      <w:r>
        <w:rPr>
          <w:rFonts w:ascii="Times New Roman" w:hAnsi="Times New Roman"/>
          <w:sz w:val="24"/>
          <w:szCs w:val="24"/>
          <w:rtl w:val="0"/>
          <w:lang w:val="en-US"/>
        </w:rPr>
        <w:t>he</w:t>
      </w:r>
      <w:r>
        <w:rPr>
          <w:rFonts w:ascii="Times New Roman" w:hAnsi="Times New Roman"/>
          <w:sz w:val="24"/>
          <w:szCs w:val="24"/>
          <w:rtl w:val="0"/>
        </w:rPr>
        <w:t xml:space="preserve"> ha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worked with animal research in captivity and in the wild, in two major Brazilian biomes: the Coastal Zone of Atlantic Forest and the Pantanal. Due to the excellent results obtained </w:t>
      </w:r>
      <w:r>
        <w:rPr>
          <w:rFonts w:ascii="Times New Roman" w:hAnsi="Times New Roman"/>
          <w:sz w:val="24"/>
          <w:szCs w:val="24"/>
          <w:rtl w:val="0"/>
          <w:lang w:val="en-US"/>
        </w:rPr>
        <w:t>he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was invited to coordinate the Neotropical Otter Sub-group in Latin America by the IUCN (The International Union for Conservation of Nature).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During </w:t>
      </w:r>
      <w:r>
        <w:rPr>
          <w:rFonts w:ascii="Times New Roman" w:hAnsi="Times New Roman"/>
          <w:sz w:val="24"/>
          <w:szCs w:val="24"/>
          <w:rtl w:val="0"/>
          <w:lang w:val="en-US"/>
        </w:rPr>
        <w:t>his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professional and academic career, </w:t>
      </w:r>
      <w:r>
        <w:rPr>
          <w:rFonts w:ascii="Times New Roman" w:hAnsi="Times New Roman"/>
          <w:sz w:val="24"/>
          <w:szCs w:val="24"/>
          <w:rtl w:val="0"/>
          <w:lang w:val="en-US"/>
        </w:rPr>
        <w:t>he</w:t>
      </w:r>
      <w:r>
        <w:rPr>
          <w:rFonts w:ascii="Times New Roman" w:hAnsi="Times New Roman"/>
          <w:sz w:val="24"/>
          <w:szCs w:val="24"/>
          <w:rtl w:val="0"/>
        </w:rPr>
        <w:t xml:space="preserve"> ha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received some awards such as the Professional Talent in 2012, Expression in Ecology in 2008 and </w:t>
      </w:r>
      <w:r>
        <w:rPr>
          <w:rFonts w:ascii="Times New Roman" w:hAnsi="Times New Roman"/>
          <w:sz w:val="24"/>
          <w:szCs w:val="24"/>
          <w:rtl w:val="0"/>
          <w:lang w:val="en-US"/>
        </w:rPr>
        <w:t>he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was appointed to the Brazilian Immortal Prize in 2008.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39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7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4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1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