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F7FC3" w14:textId="77777777" w:rsidR="00E7196A" w:rsidRDefault="00E7196A" w:rsidP="00E7196A">
      <w:pPr>
        <w:pStyle w:val="Default"/>
      </w:pPr>
    </w:p>
    <w:p w14:paraId="4BD50D0E" w14:textId="0358150A" w:rsidR="00E16EF4" w:rsidRPr="00D503ED" w:rsidRDefault="00E16EF4" w:rsidP="00E16EF4">
      <w:pPr>
        <w:pStyle w:val="Default"/>
        <w:rPr>
          <w:rStyle w:val="A8"/>
          <w:rFonts w:asciiTheme="minorHAnsi" w:hAnsiTheme="minorHAnsi" w:cstheme="minorHAnsi"/>
          <w:b/>
          <w:bCs/>
          <w:sz w:val="24"/>
          <w:szCs w:val="24"/>
        </w:rPr>
      </w:pPr>
      <w:r w:rsidRPr="00D503ED">
        <w:rPr>
          <w:rStyle w:val="A8"/>
          <w:rFonts w:asciiTheme="minorHAnsi" w:hAnsiTheme="minorHAnsi" w:cstheme="minorHAnsi"/>
          <w:b/>
          <w:bCs/>
          <w:sz w:val="24"/>
          <w:szCs w:val="24"/>
        </w:rPr>
        <w:t xml:space="preserve">New and Emerging Biomarkers </w:t>
      </w:r>
      <w:r w:rsidR="00760E08" w:rsidRPr="00D503ED">
        <w:rPr>
          <w:rStyle w:val="A8"/>
          <w:rFonts w:asciiTheme="minorHAnsi" w:hAnsiTheme="minorHAnsi" w:cstheme="minorHAnsi"/>
          <w:b/>
          <w:bCs/>
          <w:sz w:val="24"/>
          <w:szCs w:val="24"/>
        </w:rPr>
        <w:t>in the Diagnosis and Management of Heart Failure</w:t>
      </w:r>
    </w:p>
    <w:p w14:paraId="652BD66E" w14:textId="5DCE23D5" w:rsidR="00760E08" w:rsidRPr="00D503ED" w:rsidRDefault="00760E08" w:rsidP="00E16EF4">
      <w:pPr>
        <w:pStyle w:val="Default"/>
        <w:rPr>
          <w:rStyle w:val="A8"/>
          <w:rFonts w:asciiTheme="minorHAnsi" w:hAnsiTheme="minorHAnsi" w:cstheme="minorHAnsi"/>
          <w:sz w:val="24"/>
          <w:szCs w:val="24"/>
        </w:rPr>
      </w:pPr>
    </w:p>
    <w:p w14:paraId="48419578" w14:textId="173A5051" w:rsidR="00760E08" w:rsidRPr="00D503ED" w:rsidRDefault="00760E08" w:rsidP="00E16EF4">
      <w:pPr>
        <w:pStyle w:val="Default"/>
        <w:rPr>
          <w:rStyle w:val="A8"/>
          <w:rFonts w:asciiTheme="minorHAnsi" w:hAnsiTheme="minorHAnsi" w:cstheme="minorHAnsi"/>
          <w:sz w:val="24"/>
          <w:szCs w:val="24"/>
        </w:rPr>
      </w:pPr>
      <w:r w:rsidRPr="00D503ED">
        <w:rPr>
          <w:rStyle w:val="A8"/>
          <w:rFonts w:asciiTheme="minorHAnsi" w:hAnsiTheme="minorHAnsi" w:cstheme="minorHAnsi"/>
          <w:sz w:val="24"/>
          <w:szCs w:val="24"/>
        </w:rPr>
        <w:t>Samer Ellahham, MD, Nour Ellahham. Cleveland Clinic,</w:t>
      </w:r>
      <w:r w:rsidR="00D503ED">
        <w:rPr>
          <w:rStyle w:val="A8"/>
          <w:rFonts w:asciiTheme="minorHAnsi" w:hAnsiTheme="minorHAnsi" w:cstheme="minorHAnsi"/>
          <w:sz w:val="24"/>
          <w:szCs w:val="24"/>
        </w:rPr>
        <w:t xml:space="preserve"> </w:t>
      </w:r>
      <w:r w:rsidRPr="00D503ED">
        <w:rPr>
          <w:rStyle w:val="A8"/>
          <w:rFonts w:asciiTheme="minorHAnsi" w:hAnsiTheme="minorHAnsi" w:cstheme="minorHAnsi"/>
          <w:sz w:val="24"/>
          <w:szCs w:val="24"/>
        </w:rPr>
        <w:t>USA and Cleveland Clinic Abu Dhabi, UAE</w:t>
      </w:r>
    </w:p>
    <w:p w14:paraId="2EA41DB2" w14:textId="77777777" w:rsidR="00E16EF4" w:rsidRPr="00D503ED" w:rsidRDefault="00E16EF4" w:rsidP="00E16EF4">
      <w:pPr>
        <w:pStyle w:val="Default"/>
        <w:rPr>
          <w:rStyle w:val="A8"/>
          <w:rFonts w:asciiTheme="minorHAnsi" w:hAnsiTheme="minorHAnsi" w:cstheme="minorHAnsi"/>
          <w:sz w:val="24"/>
          <w:szCs w:val="24"/>
        </w:rPr>
      </w:pPr>
    </w:p>
    <w:p w14:paraId="3E31213D" w14:textId="77777777" w:rsidR="00E16EF4" w:rsidRPr="00D503ED" w:rsidRDefault="00E16EF4" w:rsidP="00E16EF4">
      <w:pPr>
        <w:pStyle w:val="Default"/>
        <w:rPr>
          <w:rStyle w:val="A8"/>
          <w:rFonts w:asciiTheme="minorHAnsi" w:hAnsiTheme="minorHAnsi" w:cstheme="minorHAnsi"/>
          <w:sz w:val="24"/>
          <w:szCs w:val="24"/>
        </w:rPr>
      </w:pPr>
    </w:p>
    <w:p w14:paraId="17AA704A" w14:textId="6913F87F" w:rsidR="00E16EF4" w:rsidRPr="00D503ED" w:rsidRDefault="00B36144" w:rsidP="00E16EF4">
      <w:pPr>
        <w:pStyle w:val="Default"/>
        <w:rPr>
          <w:rFonts w:asciiTheme="minorHAnsi" w:hAnsiTheme="minorHAnsi" w:cstheme="minorHAnsi"/>
        </w:rPr>
      </w:pPr>
      <w:r w:rsidRPr="00D503ED">
        <w:rPr>
          <w:rStyle w:val="A8"/>
          <w:rFonts w:asciiTheme="minorHAnsi" w:hAnsiTheme="minorHAnsi" w:cstheme="minorHAnsi"/>
          <w:sz w:val="24"/>
          <w:szCs w:val="24"/>
        </w:rPr>
        <w:t>Heart failure is a growing epidemic worldwide.</w:t>
      </w:r>
      <w:r w:rsidR="00E16EF4" w:rsidRPr="00D503ED">
        <w:rPr>
          <w:rStyle w:val="A11"/>
          <w:rFonts w:asciiTheme="minorHAnsi" w:hAnsiTheme="minorHAnsi" w:cstheme="minorHAnsi"/>
          <w:sz w:val="24"/>
          <w:szCs w:val="24"/>
        </w:rPr>
        <w:t xml:space="preserve"> It</w:t>
      </w:r>
      <w:r w:rsidR="00E7196A" w:rsidRPr="00D503ED">
        <w:rPr>
          <w:rStyle w:val="A11"/>
          <w:rFonts w:asciiTheme="minorHAnsi" w:hAnsiTheme="minorHAnsi" w:cstheme="minorHAnsi"/>
          <w:sz w:val="24"/>
          <w:szCs w:val="24"/>
        </w:rPr>
        <w:t xml:space="preserve"> is a growing challenge both in diagnosis and management globally. Current diagnostic tools have several merits and limitations and the field is in dying need for effective and efficient biomarkers. Emerging biomarkers show promising evidence of revolutionizing the early diagnosis and management of heart failure by cardiologists and non-specialists. </w:t>
      </w:r>
    </w:p>
    <w:p w14:paraId="49F54D6E" w14:textId="5C0366F0" w:rsidR="006B07C4" w:rsidRPr="00D503ED" w:rsidRDefault="00E16EF4" w:rsidP="00E16EF4">
      <w:pPr>
        <w:jc w:val="right"/>
        <w:rPr>
          <w:rStyle w:val="A8"/>
          <w:rFonts w:cstheme="minorHAnsi"/>
          <w:sz w:val="24"/>
          <w:szCs w:val="24"/>
        </w:rPr>
      </w:pPr>
      <w:r w:rsidRPr="00D503ED">
        <w:rPr>
          <w:rFonts w:cstheme="minorHAnsi"/>
          <w:sz w:val="24"/>
          <w:szCs w:val="24"/>
        </w:rPr>
        <w:t xml:space="preserve"> </w:t>
      </w:r>
      <w:r w:rsidRPr="00D503ED">
        <w:rPr>
          <w:rStyle w:val="A8"/>
          <w:rFonts w:cstheme="minorHAnsi"/>
          <w:sz w:val="24"/>
          <w:szCs w:val="24"/>
        </w:rPr>
        <w:t xml:space="preserve">Early diagnosis and management </w:t>
      </w:r>
      <w:r w:rsidRPr="00D503ED">
        <w:rPr>
          <w:rStyle w:val="A8"/>
          <w:rFonts w:cstheme="minorHAnsi"/>
          <w:sz w:val="24"/>
          <w:szCs w:val="24"/>
        </w:rPr>
        <w:t>remain,</w:t>
      </w:r>
      <w:r w:rsidRPr="00D503ED">
        <w:rPr>
          <w:rStyle w:val="A8"/>
          <w:rFonts w:cstheme="minorHAnsi"/>
          <w:sz w:val="24"/>
          <w:szCs w:val="24"/>
        </w:rPr>
        <w:t xml:space="preserve"> the gold standard to prevent adverse events and </w:t>
      </w:r>
      <w:r w:rsidRPr="00D503ED">
        <w:rPr>
          <w:rStyle w:val="A8"/>
          <w:rFonts w:cstheme="minorHAnsi"/>
          <w:sz w:val="24"/>
          <w:szCs w:val="24"/>
        </w:rPr>
        <w:t>therefore</w:t>
      </w:r>
      <w:r w:rsidRPr="00D503ED">
        <w:rPr>
          <w:rStyle w:val="A8"/>
          <w:rFonts w:cstheme="minorHAnsi"/>
          <w:sz w:val="24"/>
          <w:szCs w:val="24"/>
        </w:rPr>
        <w:t xml:space="preserve"> there is a shift toward early diagnostic tools such as the biomarkers. Since current diagnostic tools are in short of sensitivity and specificity, biomarkers have gained significant attention within the last decades owing to their strength in early diagnosis, risk stratification, high sensitivity and specificity and disease progression in patients with HF. </w:t>
      </w:r>
      <w:r w:rsidRPr="00D503ED">
        <w:rPr>
          <w:rStyle w:val="A8"/>
          <w:rFonts w:cstheme="minorHAnsi"/>
          <w:sz w:val="24"/>
          <w:szCs w:val="24"/>
        </w:rPr>
        <w:t>For</w:t>
      </w:r>
      <w:r w:rsidRPr="00D503ED">
        <w:rPr>
          <w:rStyle w:val="A8"/>
          <w:rFonts w:cstheme="minorHAnsi"/>
          <w:sz w:val="24"/>
          <w:szCs w:val="24"/>
        </w:rPr>
        <w:t xml:space="preserve"> biomarkers to be used in current practice, they should show severity of ongoing disease and response to treatment to be able to tailor treatment for every individual. </w:t>
      </w:r>
      <w:r w:rsidR="00E7196A" w:rsidRPr="00D503ED">
        <w:rPr>
          <w:rStyle w:val="A11"/>
          <w:rFonts w:cstheme="minorHAnsi"/>
          <w:sz w:val="24"/>
          <w:szCs w:val="24"/>
        </w:rPr>
        <w:t xml:space="preserve">Biomarkers are classified according to myocyte changes as such biomarkers in myocyte stress, injury and necrosis, ischemia and fibrosis. In addition, there are biomarkers in heart failure associated with infections, renal dysfunction and neurohormonal biomarkers. </w:t>
      </w:r>
      <w:r w:rsidR="00B36144" w:rsidRPr="00D503ED">
        <w:rPr>
          <w:rStyle w:val="A8"/>
          <w:rFonts w:cstheme="minorHAnsi"/>
          <w:sz w:val="24"/>
          <w:szCs w:val="24"/>
        </w:rPr>
        <w:t xml:space="preserve">There are several challenges still existing in diagnosis and management. </w:t>
      </w:r>
      <w:r w:rsidRPr="00D503ED">
        <w:rPr>
          <w:rStyle w:val="A8"/>
          <w:rFonts w:cstheme="minorHAnsi"/>
          <w:sz w:val="24"/>
          <w:szCs w:val="24"/>
        </w:rPr>
        <w:t xml:space="preserve">More data are needed to define the clinical utility of some of these biomarkers. </w:t>
      </w:r>
      <w:r w:rsidR="00B36144" w:rsidRPr="00D503ED">
        <w:rPr>
          <w:rStyle w:val="A8"/>
          <w:rFonts w:cstheme="minorHAnsi"/>
          <w:sz w:val="24"/>
          <w:szCs w:val="24"/>
        </w:rPr>
        <w:t xml:space="preserve">The emerging field of biomarker research is promising and deserves utmost attention. </w:t>
      </w:r>
      <w:r w:rsidRPr="00D503ED">
        <w:rPr>
          <w:rStyle w:val="A8"/>
          <w:rFonts w:cstheme="minorHAnsi"/>
          <w:sz w:val="24"/>
          <w:szCs w:val="24"/>
        </w:rPr>
        <w:t>While</w:t>
      </w:r>
      <w:r w:rsidR="00B36144" w:rsidRPr="00D503ED">
        <w:rPr>
          <w:rStyle w:val="A8"/>
          <w:rFonts w:cstheme="minorHAnsi"/>
          <w:sz w:val="24"/>
          <w:szCs w:val="24"/>
        </w:rPr>
        <w:t xml:space="preserve"> it is a long journey, the field of biomarkers has added and will provide a groundbreaking methodology in early diagnosis and optimal management of heart failure. Outcome based research through randomized controlled clinical trials will certainly position biomarkers in heart failure in most relevant clinical practice guidelines.</w:t>
      </w:r>
    </w:p>
    <w:p w14:paraId="0990FD9A" w14:textId="1A5DAC74" w:rsidR="00760E08" w:rsidRPr="00D503ED" w:rsidRDefault="00760E08" w:rsidP="00E16EF4">
      <w:pPr>
        <w:jc w:val="right"/>
        <w:rPr>
          <w:rFonts w:cstheme="minorHAnsi"/>
          <w:sz w:val="24"/>
          <w:szCs w:val="24"/>
          <w:lang w:bidi="ar-SY"/>
        </w:rPr>
      </w:pPr>
      <w:bookmarkStart w:id="0" w:name="_GoBack"/>
    </w:p>
    <w:bookmarkEnd w:id="0"/>
    <w:p w14:paraId="16AD97C3" w14:textId="3E1CE067" w:rsidR="00760E08" w:rsidRPr="00D503ED" w:rsidRDefault="00760E08" w:rsidP="00E16EF4">
      <w:pPr>
        <w:jc w:val="right"/>
        <w:rPr>
          <w:rFonts w:cstheme="minorHAnsi"/>
          <w:b/>
          <w:bCs/>
          <w:sz w:val="24"/>
          <w:szCs w:val="24"/>
          <w:lang w:bidi="ar-SY"/>
        </w:rPr>
      </w:pPr>
      <w:r w:rsidRPr="00D503ED">
        <w:rPr>
          <w:rFonts w:cstheme="minorHAnsi"/>
          <w:b/>
          <w:bCs/>
          <w:sz w:val="24"/>
          <w:szCs w:val="24"/>
          <w:lang w:bidi="ar-SY"/>
        </w:rPr>
        <w:t>Recent Publications:</w:t>
      </w:r>
    </w:p>
    <w:p w14:paraId="64028E7C" w14:textId="760B943F" w:rsidR="00760E08" w:rsidRPr="00D503ED" w:rsidRDefault="00760E08" w:rsidP="00D503ED">
      <w:pPr>
        <w:pStyle w:val="ListParagraph"/>
        <w:numPr>
          <w:ilvl w:val="0"/>
          <w:numId w:val="1"/>
        </w:numPr>
        <w:bidi w:val="0"/>
        <w:spacing w:after="0" w:line="240" w:lineRule="auto"/>
        <w:rPr>
          <w:rFonts w:eastAsia="Times New Roman" w:cstheme="minorHAnsi"/>
          <w:sz w:val="24"/>
          <w:szCs w:val="24"/>
        </w:rPr>
      </w:pPr>
      <w:r w:rsidRPr="00D503ED">
        <w:rPr>
          <w:rFonts w:eastAsia="Times New Roman" w:cstheme="minorHAnsi"/>
          <w:color w:val="000000"/>
          <w:sz w:val="24"/>
          <w:szCs w:val="24"/>
        </w:rPr>
        <w:t xml:space="preserve">Iwanaga Y, Nishi I, </w:t>
      </w:r>
      <w:proofErr w:type="spellStart"/>
      <w:r w:rsidRPr="00D503ED">
        <w:rPr>
          <w:rFonts w:eastAsia="Times New Roman" w:cstheme="minorHAnsi"/>
          <w:color w:val="000000"/>
          <w:sz w:val="24"/>
          <w:szCs w:val="24"/>
        </w:rPr>
        <w:t>Furuichi</w:t>
      </w:r>
      <w:proofErr w:type="spellEnd"/>
      <w:r w:rsidRPr="00D503ED">
        <w:rPr>
          <w:rFonts w:eastAsia="Times New Roman" w:cstheme="minorHAnsi"/>
          <w:color w:val="000000"/>
          <w:sz w:val="24"/>
          <w:szCs w:val="24"/>
        </w:rPr>
        <w:t xml:space="preserve"> S, et al. B-type natriuretic peptide strongly reflects diastolic wall stress in patients with chronic heart failure: comparison between systolic and diastolic heart failure. J Am Coll </w:t>
      </w:r>
      <w:proofErr w:type="spellStart"/>
      <w:r w:rsidRPr="00D503ED">
        <w:rPr>
          <w:rFonts w:eastAsia="Times New Roman" w:cstheme="minorHAnsi"/>
          <w:color w:val="000000"/>
          <w:sz w:val="24"/>
          <w:szCs w:val="24"/>
        </w:rPr>
        <w:t>Cardiol</w:t>
      </w:r>
      <w:proofErr w:type="spellEnd"/>
      <w:r w:rsidRPr="00D503ED">
        <w:rPr>
          <w:rFonts w:eastAsia="Times New Roman" w:cstheme="minorHAnsi"/>
          <w:color w:val="000000"/>
          <w:sz w:val="24"/>
          <w:szCs w:val="24"/>
        </w:rPr>
        <w:t xml:space="preserve"> 2006; 47:742.</w:t>
      </w:r>
    </w:p>
    <w:p w14:paraId="70FA618B" w14:textId="3261EEE3" w:rsidR="00760E08" w:rsidRPr="00D503ED" w:rsidRDefault="00760E08" w:rsidP="00D503ED">
      <w:pPr>
        <w:pStyle w:val="ListParagraph"/>
        <w:numPr>
          <w:ilvl w:val="0"/>
          <w:numId w:val="1"/>
        </w:numPr>
        <w:bidi w:val="0"/>
        <w:spacing w:after="0" w:line="240" w:lineRule="auto"/>
        <w:rPr>
          <w:rFonts w:eastAsia="Times New Roman" w:cstheme="minorHAnsi"/>
          <w:sz w:val="24"/>
          <w:szCs w:val="24"/>
        </w:rPr>
      </w:pPr>
      <w:r w:rsidRPr="00D503ED">
        <w:rPr>
          <w:rFonts w:eastAsia="Times New Roman" w:cstheme="minorHAnsi"/>
          <w:sz w:val="24"/>
          <w:szCs w:val="24"/>
        </w:rPr>
        <w:t>Elsner</w:t>
      </w:r>
      <w:r w:rsidRPr="00D503ED">
        <w:rPr>
          <w:rFonts w:eastAsia="Times New Roman" w:cstheme="minorHAnsi"/>
          <w:color w:val="000000"/>
          <w:sz w:val="24"/>
          <w:szCs w:val="24"/>
        </w:rPr>
        <w:t xml:space="preserve"> D, </w:t>
      </w:r>
      <w:proofErr w:type="spellStart"/>
      <w:r w:rsidRPr="00D503ED">
        <w:rPr>
          <w:rFonts w:eastAsia="Times New Roman" w:cstheme="minorHAnsi"/>
          <w:color w:val="000000"/>
          <w:sz w:val="24"/>
          <w:szCs w:val="24"/>
        </w:rPr>
        <w:t>Müntze</w:t>
      </w:r>
      <w:proofErr w:type="spellEnd"/>
      <w:r w:rsidRPr="00D503ED">
        <w:rPr>
          <w:rFonts w:eastAsia="Times New Roman" w:cstheme="minorHAnsi"/>
          <w:color w:val="000000"/>
          <w:sz w:val="24"/>
          <w:szCs w:val="24"/>
        </w:rPr>
        <w:t xml:space="preserve"> A, Kromer EP, </w:t>
      </w:r>
      <w:proofErr w:type="spellStart"/>
      <w:r w:rsidRPr="00D503ED">
        <w:rPr>
          <w:rFonts w:eastAsia="Times New Roman" w:cstheme="minorHAnsi"/>
          <w:color w:val="000000"/>
          <w:sz w:val="24"/>
          <w:szCs w:val="24"/>
        </w:rPr>
        <w:t>Riegger</w:t>
      </w:r>
      <w:proofErr w:type="spellEnd"/>
      <w:r w:rsidRPr="00D503ED">
        <w:rPr>
          <w:rFonts w:eastAsia="Times New Roman" w:cstheme="minorHAnsi"/>
          <w:color w:val="000000"/>
          <w:sz w:val="24"/>
          <w:szCs w:val="24"/>
        </w:rPr>
        <w:t xml:space="preserve"> GA. Effectiveness of endopeptidase inhibition (candoxatril) in congestive heart failure. Am J </w:t>
      </w:r>
      <w:proofErr w:type="spellStart"/>
      <w:r w:rsidRPr="00D503ED">
        <w:rPr>
          <w:rFonts w:eastAsia="Times New Roman" w:cstheme="minorHAnsi"/>
          <w:color w:val="000000"/>
          <w:sz w:val="24"/>
          <w:szCs w:val="24"/>
        </w:rPr>
        <w:t>Cardiol</w:t>
      </w:r>
      <w:proofErr w:type="spellEnd"/>
      <w:r w:rsidRPr="00D503ED">
        <w:rPr>
          <w:rFonts w:eastAsia="Times New Roman" w:cstheme="minorHAnsi"/>
          <w:color w:val="000000"/>
          <w:sz w:val="24"/>
          <w:szCs w:val="24"/>
        </w:rPr>
        <w:t xml:space="preserve"> 1992; 70:494.</w:t>
      </w:r>
    </w:p>
    <w:p w14:paraId="4F4D6083" w14:textId="211AB87B" w:rsidR="00760E08" w:rsidRPr="00D503ED" w:rsidRDefault="00760E08" w:rsidP="00D503ED">
      <w:pPr>
        <w:pStyle w:val="ListParagraph"/>
        <w:numPr>
          <w:ilvl w:val="0"/>
          <w:numId w:val="1"/>
        </w:numPr>
        <w:bidi w:val="0"/>
        <w:spacing w:after="0" w:line="240" w:lineRule="auto"/>
        <w:rPr>
          <w:rFonts w:eastAsia="Times New Roman" w:cstheme="minorHAnsi"/>
          <w:sz w:val="24"/>
          <w:szCs w:val="24"/>
        </w:rPr>
      </w:pPr>
      <w:r w:rsidRPr="00D503ED">
        <w:rPr>
          <w:rFonts w:eastAsia="Times New Roman" w:cstheme="minorHAnsi"/>
          <w:sz w:val="24"/>
          <w:szCs w:val="24"/>
        </w:rPr>
        <w:t>Maisel</w:t>
      </w:r>
      <w:r w:rsidRPr="00D503ED">
        <w:rPr>
          <w:rFonts w:eastAsia="Times New Roman" w:cstheme="minorHAnsi"/>
          <w:color w:val="000000"/>
          <w:sz w:val="24"/>
          <w:szCs w:val="24"/>
        </w:rPr>
        <w:t xml:space="preserve"> A, Mueller C, Adams K Jr, et al. State of the art: using natriuretic peptide levels in clinical practice. Eur J Heart Fail 2008; 10:824.</w:t>
      </w:r>
    </w:p>
    <w:p w14:paraId="667C5462" w14:textId="003EA8F7" w:rsidR="00760E08" w:rsidRPr="00D503ED" w:rsidRDefault="00760E08" w:rsidP="00D503ED">
      <w:pPr>
        <w:pStyle w:val="ListParagraph"/>
        <w:numPr>
          <w:ilvl w:val="0"/>
          <w:numId w:val="1"/>
        </w:numPr>
        <w:bidi w:val="0"/>
        <w:spacing w:after="0" w:line="240" w:lineRule="auto"/>
        <w:rPr>
          <w:rFonts w:eastAsia="Times New Roman" w:cstheme="minorHAnsi"/>
          <w:sz w:val="24"/>
          <w:szCs w:val="24"/>
        </w:rPr>
      </w:pPr>
      <w:r w:rsidRPr="00D503ED">
        <w:rPr>
          <w:rFonts w:eastAsia="Times New Roman" w:cstheme="minorHAnsi"/>
          <w:color w:val="000000"/>
          <w:sz w:val="24"/>
          <w:szCs w:val="24"/>
        </w:rPr>
        <w:t xml:space="preserve">Cleric A, Del Ry S, </w:t>
      </w:r>
      <w:proofErr w:type="spellStart"/>
      <w:r w:rsidRPr="00D503ED">
        <w:rPr>
          <w:rFonts w:eastAsia="Times New Roman" w:cstheme="minorHAnsi"/>
          <w:color w:val="000000"/>
          <w:sz w:val="24"/>
          <w:szCs w:val="24"/>
        </w:rPr>
        <w:t>Giannessi</w:t>
      </w:r>
      <w:proofErr w:type="spellEnd"/>
      <w:r w:rsidRPr="00D503ED">
        <w:rPr>
          <w:rFonts w:eastAsia="Times New Roman" w:cstheme="minorHAnsi"/>
          <w:color w:val="000000"/>
          <w:sz w:val="24"/>
          <w:szCs w:val="24"/>
        </w:rPr>
        <w:t xml:space="preserve"> D. Measurement of cardiac natriuretic hormones (atrial natriuretic peptide, brain natriuretic peptide, and related peptides) in clinical practice: the need for a new generation of immunoassay methods. Clin Chem 2000; 46:1529.</w:t>
      </w:r>
    </w:p>
    <w:p w14:paraId="7371BA95" w14:textId="4D5A9D35" w:rsidR="00760E08" w:rsidRPr="00D503ED" w:rsidRDefault="00760E08" w:rsidP="00D503ED">
      <w:pPr>
        <w:pStyle w:val="ListParagraph"/>
        <w:numPr>
          <w:ilvl w:val="0"/>
          <w:numId w:val="1"/>
        </w:numPr>
        <w:bidi w:val="0"/>
        <w:spacing w:after="0" w:line="240" w:lineRule="auto"/>
        <w:rPr>
          <w:rFonts w:eastAsia="Times New Roman" w:cstheme="minorHAnsi"/>
          <w:sz w:val="24"/>
          <w:szCs w:val="24"/>
        </w:rPr>
      </w:pPr>
      <w:proofErr w:type="spellStart"/>
      <w:r w:rsidRPr="00D503ED">
        <w:rPr>
          <w:rFonts w:eastAsia="Times New Roman" w:cstheme="minorHAnsi"/>
          <w:color w:val="000000"/>
          <w:sz w:val="24"/>
          <w:szCs w:val="24"/>
        </w:rPr>
        <w:lastRenderedPageBreak/>
        <w:t>Clerico</w:t>
      </w:r>
      <w:proofErr w:type="spellEnd"/>
      <w:r w:rsidRPr="00D503ED">
        <w:rPr>
          <w:rFonts w:eastAsia="Times New Roman" w:cstheme="minorHAnsi"/>
          <w:color w:val="000000"/>
          <w:sz w:val="24"/>
          <w:szCs w:val="24"/>
        </w:rPr>
        <w:t xml:space="preserve"> A, Carlo </w:t>
      </w:r>
      <w:proofErr w:type="spellStart"/>
      <w:r w:rsidRPr="00D503ED">
        <w:rPr>
          <w:rFonts w:eastAsia="Times New Roman" w:cstheme="minorHAnsi"/>
          <w:color w:val="000000"/>
          <w:sz w:val="24"/>
          <w:szCs w:val="24"/>
        </w:rPr>
        <w:t>Zucchelli</w:t>
      </w:r>
      <w:proofErr w:type="spellEnd"/>
      <w:r w:rsidRPr="00D503ED">
        <w:rPr>
          <w:rFonts w:eastAsia="Times New Roman" w:cstheme="minorHAnsi"/>
          <w:color w:val="000000"/>
          <w:sz w:val="24"/>
          <w:szCs w:val="24"/>
        </w:rPr>
        <w:t xml:space="preserve"> G, </w:t>
      </w:r>
      <w:proofErr w:type="spellStart"/>
      <w:r w:rsidRPr="00D503ED">
        <w:rPr>
          <w:rFonts w:eastAsia="Times New Roman" w:cstheme="minorHAnsi"/>
          <w:color w:val="000000"/>
          <w:sz w:val="24"/>
          <w:szCs w:val="24"/>
        </w:rPr>
        <w:t>Pilo</w:t>
      </w:r>
      <w:proofErr w:type="spellEnd"/>
      <w:r w:rsidRPr="00D503ED">
        <w:rPr>
          <w:rFonts w:eastAsia="Times New Roman" w:cstheme="minorHAnsi"/>
          <w:color w:val="000000"/>
          <w:sz w:val="24"/>
          <w:szCs w:val="24"/>
        </w:rPr>
        <w:t xml:space="preserve"> A, et al. Clinical relevance of biological variation: the lesson of brain natriuretic peptide (BNP) and NT-</w:t>
      </w:r>
      <w:proofErr w:type="spellStart"/>
      <w:r w:rsidRPr="00D503ED">
        <w:rPr>
          <w:rFonts w:eastAsia="Times New Roman" w:cstheme="minorHAnsi"/>
          <w:color w:val="000000"/>
          <w:sz w:val="24"/>
          <w:szCs w:val="24"/>
        </w:rPr>
        <w:t>proBNP</w:t>
      </w:r>
      <w:proofErr w:type="spellEnd"/>
      <w:r w:rsidRPr="00D503ED">
        <w:rPr>
          <w:rFonts w:eastAsia="Times New Roman" w:cstheme="minorHAnsi"/>
          <w:color w:val="000000"/>
          <w:sz w:val="24"/>
          <w:szCs w:val="24"/>
        </w:rPr>
        <w:t xml:space="preserve"> assay. Clin Chem Lab Med 2006; 44:366.</w:t>
      </w:r>
    </w:p>
    <w:p w14:paraId="05DD1D80" w14:textId="13D6CC1E" w:rsidR="00760E08" w:rsidRPr="00D503ED" w:rsidRDefault="00760E08" w:rsidP="00D503ED">
      <w:pPr>
        <w:pStyle w:val="ListParagraph"/>
        <w:numPr>
          <w:ilvl w:val="0"/>
          <w:numId w:val="1"/>
        </w:numPr>
        <w:bidi w:val="0"/>
        <w:spacing w:after="0" w:line="240" w:lineRule="auto"/>
        <w:rPr>
          <w:rFonts w:eastAsia="Times New Roman" w:cstheme="minorHAnsi"/>
          <w:sz w:val="24"/>
          <w:szCs w:val="24"/>
        </w:rPr>
      </w:pPr>
      <w:proofErr w:type="spellStart"/>
      <w:r w:rsidRPr="00D503ED">
        <w:rPr>
          <w:rFonts w:eastAsia="Times New Roman" w:cstheme="minorHAnsi"/>
          <w:color w:val="000000"/>
          <w:sz w:val="24"/>
          <w:szCs w:val="24"/>
        </w:rPr>
        <w:t>Takami</w:t>
      </w:r>
      <w:proofErr w:type="spellEnd"/>
      <w:r w:rsidRPr="00D503ED">
        <w:rPr>
          <w:rFonts w:eastAsia="Times New Roman" w:cstheme="minorHAnsi"/>
          <w:color w:val="000000"/>
          <w:sz w:val="24"/>
          <w:szCs w:val="24"/>
        </w:rPr>
        <w:t xml:space="preserve"> Y, </w:t>
      </w:r>
      <w:proofErr w:type="spellStart"/>
      <w:r w:rsidRPr="00D503ED">
        <w:rPr>
          <w:rFonts w:eastAsia="Times New Roman" w:cstheme="minorHAnsi"/>
          <w:color w:val="000000"/>
          <w:sz w:val="24"/>
          <w:szCs w:val="24"/>
        </w:rPr>
        <w:t>Horio</w:t>
      </w:r>
      <w:proofErr w:type="spellEnd"/>
      <w:r w:rsidRPr="00D503ED">
        <w:rPr>
          <w:rFonts w:eastAsia="Times New Roman" w:cstheme="minorHAnsi"/>
          <w:color w:val="000000"/>
          <w:sz w:val="24"/>
          <w:szCs w:val="24"/>
        </w:rPr>
        <w:t xml:space="preserve"> T, </w:t>
      </w:r>
      <w:proofErr w:type="spellStart"/>
      <w:r w:rsidRPr="00D503ED">
        <w:rPr>
          <w:rFonts w:eastAsia="Times New Roman" w:cstheme="minorHAnsi"/>
          <w:color w:val="000000"/>
          <w:sz w:val="24"/>
          <w:szCs w:val="24"/>
        </w:rPr>
        <w:t>Iwashima</w:t>
      </w:r>
      <w:proofErr w:type="spellEnd"/>
      <w:r w:rsidRPr="00D503ED">
        <w:rPr>
          <w:rFonts w:eastAsia="Times New Roman" w:cstheme="minorHAnsi"/>
          <w:color w:val="000000"/>
          <w:sz w:val="24"/>
          <w:szCs w:val="24"/>
        </w:rPr>
        <w:t xml:space="preserve"> Y, et al. Diagnostic and prognostic value of plasma brain natriuretic peptide in non-dialysis-dependent CRF. Am J Kidney Dis 2004; 44:420.</w:t>
      </w:r>
    </w:p>
    <w:p w14:paraId="74448A8A" w14:textId="56ADE6EE" w:rsidR="00760E08" w:rsidRPr="00D503ED" w:rsidRDefault="00760E08" w:rsidP="00D503ED">
      <w:pPr>
        <w:pStyle w:val="ListParagraph"/>
        <w:numPr>
          <w:ilvl w:val="0"/>
          <w:numId w:val="1"/>
        </w:numPr>
        <w:bidi w:val="0"/>
        <w:spacing w:after="0" w:line="240" w:lineRule="auto"/>
        <w:rPr>
          <w:rFonts w:eastAsia="Times New Roman" w:cstheme="minorHAnsi"/>
          <w:sz w:val="24"/>
          <w:szCs w:val="24"/>
        </w:rPr>
      </w:pPr>
      <w:r w:rsidRPr="00D503ED">
        <w:rPr>
          <w:rFonts w:eastAsia="Times New Roman" w:cstheme="minorHAnsi"/>
          <w:color w:val="000000"/>
          <w:sz w:val="24"/>
          <w:szCs w:val="24"/>
        </w:rPr>
        <w:t>Maisel A. B-type natriuretic peptide levels: diagnostic and prognostic in congestive heart failure: what's next? Circulation 2002; 105:2328.</w:t>
      </w:r>
    </w:p>
    <w:p w14:paraId="0483BBBC" w14:textId="1379A019" w:rsidR="00760E08" w:rsidRPr="00D503ED" w:rsidRDefault="00760E08" w:rsidP="00D503ED">
      <w:pPr>
        <w:pStyle w:val="ListParagraph"/>
        <w:numPr>
          <w:ilvl w:val="0"/>
          <w:numId w:val="1"/>
        </w:numPr>
        <w:bidi w:val="0"/>
        <w:spacing w:after="0" w:line="240" w:lineRule="auto"/>
        <w:rPr>
          <w:rFonts w:eastAsia="Times New Roman" w:cstheme="minorHAnsi"/>
          <w:sz w:val="24"/>
          <w:szCs w:val="24"/>
        </w:rPr>
      </w:pPr>
      <w:r w:rsidRPr="00D503ED">
        <w:rPr>
          <w:rFonts w:eastAsia="Times New Roman" w:cstheme="minorHAnsi"/>
          <w:color w:val="000000"/>
          <w:sz w:val="24"/>
          <w:szCs w:val="24"/>
        </w:rPr>
        <w:t xml:space="preserve">de </w:t>
      </w:r>
      <w:proofErr w:type="spellStart"/>
      <w:r w:rsidRPr="00D503ED">
        <w:rPr>
          <w:rFonts w:eastAsia="Times New Roman" w:cstheme="minorHAnsi"/>
          <w:color w:val="000000"/>
          <w:sz w:val="24"/>
          <w:szCs w:val="24"/>
        </w:rPr>
        <w:t>Lemos</w:t>
      </w:r>
      <w:proofErr w:type="spellEnd"/>
      <w:r w:rsidRPr="00D503ED">
        <w:rPr>
          <w:rFonts w:eastAsia="Times New Roman" w:cstheme="minorHAnsi"/>
          <w:color w:val="000000"/>
          <w:sz w:val="24"/>
          <w:szCs w:val="24"/>
        </w:rPr>
        <w:t xml:space="preserve"> JA, McGuire DK, </w:t>
      </w:r>
      <w:proofErr w:type="spellStart"/>
      <w:r w:rsidRPr="00D503ED">
        <w:rPr>
          <w:rFonts w:eastAsia="Times New Roman" w:cstheme="minorHAnsi"/>
          <w:color w:val="000000"/>
          <w:sz w:val="24"/>
          <w:szCs w:val="24"/>
        </w:rPr>
        <w:t>Drazner</w:t>
      </w:r>
      <w:proofErr w:type="spellEnd"/>
      <w:r w:rsidRPr="00D503ED">
        <w:rPr>
          <w:rFonts w:eastAsia="Times New Roman" w:cstheme="minorHAnsi"/>
          <w:color w:val="000000"/>
          <w:sz w:val="24"/>
          <w:szCs w:val="24"/>
        </w:rPr>
        <w:t xml:space="preserve"> MH. B-type natriuretic peptide in cardiovascular disease. Lancet 2003; 362:316.</w:t>
      </w:r>
    </w:p>
    <w:sectPr w:rsidR="00760E08" w:rsidRPr="00D503ED" w:rsidSect="002B6DF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635125"/>
    <w:multiLevelType w:val="hybridMultilevel"/>
    <w:tmpl w:val="68E481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426A49"/>
    <w:multiLevelType w:val="hybridMultilevel"/>
    <w:tmpl w:val="C8029AC6"/>
    <w:lvl w:ilvl="0" w:tplc="556ED27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196A"/>
    <w:rsid w:val="002B6DF6"/>
    <w:rsid w:val="006B07C4"/>
    <w:rsid w:val="00760E08"/>
    <w:rsid w:val="00B36144"/>
    <w:rsid w:val="00D503ED"/>
    <w:rsid w:val="00E16EF4"/>
    <w:rsid w:val="00E719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2284E"/>
  <w15:chartTrackingRefBased/>
  <w15:docId w15:val="{659353B2-7C36-445A-97E9-4D316B4A1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196A"/>
    <w:pPr>
      <w:autoSpaceDE w:val="0"/>
      <w:autoSpaceDN w:val="0"/>
      <w:adjustRightInd w:val="0"/>
      <w:spacing w:after="0" w:line="240" w:lineRule="auto"/>
    </w:pPr>
    <w:rPr>
      <w:rFonts w:ascii="Cambria" w:hAnsi="Cambria" w:cs="Cambria"/>
      <w:color w:val="000000"/>
      <w:sz w:val="24"/>
      <w:szCs w:val="24"/>
    </w:rPr>
  </w:style>
  <w:style w:type="character" w:customStyle="1" w:styleId="A11">
    <w:name w:val="A11"/>
    <w:uiPriority w:val="99"/>
    <w:rsid w:val="00E7196A"/>
    <w:rPr>
      <w:rFonts w:cs="Cambria"/>
      <w:color w:val="000000"/>
      <w:sz w:val="16"/>
      <w:szCs w:val="16"/>
    </w:rPr>
  </w:style>
  <w:style w:type="character" w:customStyle="1" w:styleId="A8">
    <w:name w:val="A8"/>
    <w:uiPriority w:val="99"/>
    <w:rsid w:val="00B36144"/>
    <w:rPr>
      <w:rFonts w:cs="Cambria"/>
      <w:color w:val="000000"/>
      <w:sz w:val="18"/>
      <w:szCs w:val="18"/>
    </w:rPr>
  </w:style>
  <w:style w:type="paragraph" w:styleId="ListParagraph">
    <w:name w:val="List Paragraph"/>
    <w:basedOn w:val="Normal"/>
    <w:uiPriority w:val="34"/>
    <w:qFormat/>
    <w:rsid w:val="00D503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367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2</Pages>
  <Words>517</Words>
  <Characters>2947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SAMER ELLAHHAM</dc:creator>
  <cp:keywords/>
  <dc:description/>
  <cp:lastModifiedBy>SAMER ELLAHHAM</cp:lastModifiedBy>
  <cp:revision>1</cp:revision>
  <dcterms:created xsi:type="dcterms:W3CDTF">2018-08-03T09:38:00Z</dcterms:created>
  <dcterms:modified xsi:type="dcterms:W3CDTF">2018-08-03T14:06:00Z</dcterms:modified>
</cp:coreProperties>
</file>