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465" w:rsidRPr="00824666" w:rsidRDefault="00D82465" w:rsidP="00B83C39">
      <w:pPr>
        <w:spacing w:after="0" w:line="240" w:lineRule="auto"/>
        <w:rPr>
          <w:rFonts w:ascii="Nyala" w:eastAsia="Calibri" w:hAnsi="Nyala" w:cs="Times New Roman"/>
          <w:b/>
        </w:rPr>
      </w:pPr>
      <w:r w:rsidRPr="00824666">
        <w:rPr>
          <w:rFonts w:ascii="Nyala" w:eastAsia="Calibri" w:hAnsi="Nyala" w:cs="Times New Roman"/>
          <w:b/>
        </w:rPr>
        <w:t>Blood Glucose Level and Lipid Profile of Alloxan-Induced Hyperglycemic Rats Treated with Single and Combinatorial Herbal Formulations.</w:t>
      </w:r>
    </w:p>
    <w:p w:rsidR="00D82465" w:rsidRPr="00824666" w:rsidRDefault="00D82465" w:rsidP="00D82465">
      <w:pPr>
        <w:spacing w:after="0" w:line="240" w:lineRule="auto"/>
        <w:rPr>
          <w:rFonts w:ascii="Nyala" w:eastAsia="Times New Roman" w:hAnsi="Nyala" w:cs="Times New Roman"/>
          <w:vertAlign w:val="superscript"/>
        </w:rPr>
      </w:pPr>
      <w:proofErr w:type="spellStart"/>
      <w:r w:rsidRPr="00824666">
        <w:rPr>
          <w:rFonts w:ascii="Nyala" w:eastAsia="Calibri" w:hAnsi="Nyala" w:cs="Times New Roman"/>
        </w:rPr>
        <w:t>Okey</w:t>
      </w:r>
      <w:proofErr w:type="spellEnd"/>
      <w:r w:rsidRPr="00824666">
        <w:rPr>
          <w:rFonts w:ascii="Nyala" w:eastAsia="Calibri" w:hAnsi="Nyala" w:cs="Times New Roman"/>
        </w:rPr>
        <w:t xml:space="preserve"> A. Ojiako</w:t>
      </w:r>
      <w:r w:rsidRPr="00824666">
        <w:rPr>
          <w:rFonts w:ascii="Nyala" w:eastAsia="Calibri" w:hAnsi="Nyala" w:cs="Times New Roman"/>
          <w:vertAlign w:val="superscript"/>
        </w:rPr>
        <w:t>1</w:t>
      </w:r>
      <w:r w:rsidRPr="00824666">
        <w:rPr>
          <w:rFonts w:ascii="Nyala" w:eastAsia="Calibri" w:hAnsi="Nyala" w:cs="Times New Roman"/>
        </w:rPr>
        <w:t>, Paul C. Chikezie</w:t>
      </w:r>
      <w:r w:rsidRPr="00824666">
        <w:rPr>
          <w:rFonts w:ascii="Nyala" w:eastAsia="Calibri" w:hAnsi="Nyala" w:cs="Times New Roman"/>
          <w:vertAlign w:val="superscript"/>
        </w:rPr>
        <w:t>2</w:t>
      </w:r>
      <w:r w:rsidRPr="00824666">
        <w:rPr>
          <w:rFonts w:ascii="Nyala" w:eastAsia="Calibri" w:hAnsi="Nyala" w:cs="Times New Roman"/>
        </w:rPr>
        <w:t xml:space="preserve"> and </w:t>
      </w:r>
      <w:proofErr w:type="spellStart"/>
      <w:r w:rsidRPr="00824666">
        <w:rPr>
          <w:rFonts w:ascii="Nyala" w:eastAsia="Calibri" w:hAnsi="Nyala" w:cs="Times New Roman"/>
        </w:rPr>
        <w:t>Agomuo</w:t>
      </w:r>
      <w:proofErr w:type="spellEnd"/>
      <w:r w:rsidRPr="00824666">
        <w:rPr>
          <w:rFonts w:ascii="Nyala" w:eastAsia="Calibri" w:hAnsi="Nyala" w:cs="Times New Roman"/>
        </w:rPr>
        <w:t xml:space="preserve"> C. Ogbuji</w:t>
      </w:r>
      <w:r w:rsidRPr="00824666">
        <w:rPr>
          <w:rFonts w:ascii="Nyala" w:eastAsia="Calibri" w:hAnsi="Nyala" w:cs="Times New Roman"/>
          <w:vertAlign w:val="superscript"/>
        </w:rPr>
        <w:t>3</w:t>
      </w:r>
    </w:p>
    <w:p w:rsidR="00D82465" w:rsidRPr="00824666" w:rsidRDefault="00D82465" w:rsidP="00D82465">
      <w:pPr>
        <w:spacing w:after="0" w:line="240" w:lineRule="auto"/>
        <w:rPr>
          <w:rFonts w:ascii="Nyala" w:eastAsia="Calibri" w:hAnsi="Nyala" w:cs="Times New Roman"/>
          <w:bCs/>
          <w:vertAlign w:val="superscript"/>
        </w:rPr>
      </w:pPr>
      <w:r w:rsidRPr="00824666">
        <w:rPr>
          <w:rFonts w:ascii="Nyala" w:eastAsia="Calibri" w:hAnsi="Nyala" w:cs="Times New Roman"/>
          <w:bCs/>
          <w:vertAlign w:val="superscript"/>
        </w:rPr>
        <w:t>1</w:t>
      </w:r>
      <w:r w:rsidRPr="00824666">
        <w:rPr>
          <w:rFonts w:ascii="Nyala" w:eastAsia="Calibri" w:hAnsi="Nyala" w:cs="Times New Roman"/>
          <w:bCs/>
        </w:rPr>
        <w:t>Department of Biochemistry, Federal University of Technology, Owerri, Nigeria</w:t>
      </w:r>
      <w:r w:rsidRPr="00824666">
        <w:rPr>
          <w:rFonts w:ascii="Nyala" w:eastAsia="Calibri" w:hAnsi="Nyala" w:cs="Times New Roman"/>
          <w:bCs/>
          <w:vertAlign w:val="superscript"/>
        </w:rPr>
        <w:t xml:space="preserve"> </w:t>
      </w:r>
    </w:p>
    <w:p w:rsidR="00D82465" w:rsidRPr="00824666" w:rsidRDefault="00D82465" w:rsidP="00D82465">
      <w:pPr>
        <w:spacing w:after="0" w:line="240" w:lineRule="auto"/>
        <w:rPr>
          <w:rFonts w:ascii="Nyala" w:eastAsia="Calibri" w:hAnsi="Nyala" w:cs="Times New Roman"/>
          <w:bCs/>
        </w:rPr>
      </w:pPr>
      <w:r w:rsidRPr="00824666">
        <w:rPr>
          <w:rFonts w:ascii="Nyala" w:eastAsia="Calibri" w:hAnsi="Nyala" w:cs="Times New Roman"/>
          <w:bCs/>
          <w:vertAlign w:val="superscript"/>
        </w:rPr>
        <w:t>2</w:t>
      </w:r>
      <w:r w:rsidRPr="00824666">
        <w:rPr>
          <w:rFonts w:ascii="Nyala" w:eastAsia="Calibri" w:hAnsi="Nyala" w:cs="Times New Roman"/>
          <w:bCs/>
        </w:rPr>
        <w:t>Department of Biochemistry, Imo State University, Owerri, Nigeria</w:t>
      </w:r>
    </w:p>
    <w:p w:rsidR="00D82465" w:rsidRPr="00824666" w:rsidRDefault="00D82465" w:rsidP="00D82465">
      <w:pPr>
        <w:spacing w:after="0" w:line="240" w:lineRule="auto"/>
        <w:rPr>
          <w:rFonts w:ascii="Nyala" w:eastAsia="Calibri" w:hAnsi="Nyala" w:cs="Times New Roman"/>
          <w:bCs/>
        </w:rPr>
      </w:pPr>
      <w:r w:rsidRPr="00824666">
        <w:rPr>
          <w:rFonts w:ascii="Nyala" w:eastAsia="Calibri" w:hAnsi="Nyala" w:cs="Times New Roman"/>
          <w:bCs/>
          <w:vertAlign w:val="superscript"/>
        </w:rPr>
        <w:t>3</w:t>
      </w:r>
      <w:r w:rsidRPr="00824666">
        <w:rPr>
          <w:rFonts w:ascii="Nyala" w:eastAsia="Calibri" w:hAnsi="Nyala" w:cs="Times New Roman"/>
          <w:bCs/>
        </w:rPr>
        <w:t xml:space="preserve">Department of Food Science and Technology, </w:t>
      </w:r>
      <w:proofErr w:type="spellStart"/>
      <w:r w:rsidRPr="00824666">
        <w:rPr>
          <w:rFonts w:ascii="Nyala" w:eastAsia="Calibri" w:hAnsi="Nyala" w:cs="Times New Roman"/>
          <w:bCs/>
        </w:rPr>
        <w:t>Abia</w:t>
      </w:r>
      <w:proofErr w:type="spellEnd"/>
      <w:r w:rsidRPr="00824666">
        <w:rPr>
          <w:rFonts w:ascii="Nyala" w:eastAsia="Calibri" w:hAnsi="Nyala" w:cs="Times New Roman"/>
          <w:bCs/>
        </w:rPr>
        <w:t xml:space="preserve"> State Polytechnic, Aba, Nigeria</w:t>
      </w:r>
    </w:p>
    <w:p w:rsidR="00F45645" w:rsidRPr="00824666" w:rsidRDefault="005169AF" w:rsidP="00D82465">
      <w:pPr>
        <w:widowControl w:val="0"/>
        <w:spacing w:after="0" w:line="240" w:lineRule="auto"/>
        <w:rPr>
          <w:rFonts w:ascii="Nyala" w:eastAsia="Tw Cen MT" w:hAnsi="Nyala" w:cs="Tw Cen MT"/>
        </w:rPr>
      </w:pPr>
      <w:r>
        <w:rPr>
          <w:rFonts w:ascii="Nyala" w:eastAsia="Calibri" w:hAnsi="Nyala" w:cs="Times New Roman"/>
        </w:rPr>
        <w:t>Present</w:t>
      </w:r>
      <w:r w:rsidR="00D82465" w:rsidRPr="00824666">
        <w:rPr>
          <w:rFonts w:ascii="Nyala" w:eastAsia="Calibri" w:hAnsi="Nyala" w:cs="Times New Roman"/>
        </w:rPr>
        <w:t xml:space="preserve">ing author: Paul C. Chikezie; e-mail: </w:t>
      </w:r>
      <w:hyperlink r:id="rId8" w:history="1">
        <w:r w:rsidR="00D82465" w:rsidRPr="00824666">
          <w:rPr>
            <w:rFonts w:ascii="Nyala" w:eastAsia="Calibri" w:hAnsi="Nyala" w:cs="Times New Roman"/>
          </w:rPr>
          <w:t>p_chikezie@yahoo.com</w:t>
        </w:r>
      </w:hyperlink>
      <w:r w:rsidR="00D82465" w:rsidRPr="00824666">
        <w:rPr>
          <w:rFonts w:ascii="Nyala" w:eastAsia="Calibri" w:hAnsi="Nyala" w:cs="Times New Roman"/>
        </w:rPr>
        <w:t>; Phone:</w:t>
      </w:r>
      <w:r w:rsidR="00D82465" w:rsidRPr="00824666">
        <w:rPr>
          <w:rFonts w:ascii="Nyala" w:eastAsia="Times New Roman" w:hAnsi="Nyala" w:cs="Times New Roman"/>
        </w:rPr>
        <w:t xml:space="preserve"> +2348038935327</w:t>
      </w:r>
    </w:p>
    <w:p w:rsidR="00F45645" w:rsidRPr="00824666" w:rsidRDefault="00F45645" w:rsidP="00D82465">
      <w:pPr>
        <w:widowControl w:val="0"/>
        <w:spacing w:after="0" w:line="240" w:lineRule="auto"/>
        <w:rPr>
          <w:rFonts w:ascii="Nyala" w:eastAsia="Tw Cen MT" w:hAnsi="Nyala" w:cs="Tw Cen MT"/>
        </w:rPr>
        <w:sectPr w:rsidR="00F45645" w:rsidRPr="00824666" w:rsidSect="00F45645">
          <w:headerReference w:type="default" r:id="rId9"/>
          <w:footerReference w:type="default" r:id="rId10"/>
          <w:pgSz w:w="11910" w:h="16840"/>
          <w:pgMar w:top="1740" w:right="600" w:bottom="840" w:left="620" w:header="541" w:footer="642" w:gutter="0"/>
          <w:cols w:space="720"/>
        </w:sectPr>
      </w:pPr>
    </w:p>
    <w:p w:rsidR="00F45645" w:rsidRPr="00824666" w:rsidRDefault="00F45645" w:rsidP="00D82465">
      <w:pPr>
        <w:spacing w:after="0" w:line="240" w:lineRule="auto"/>
        <w:jc w:val="both"/>
        <w:rPr>
          <w:rFonts w:ascii="Nyala" w:eastAsia="Calibri" w:hAnsi="Nyala" w:cs="Times New Roman"/>
          <w:b/>
        </w:rPr>
      </w:pPr>
      <w:r w:rsidRPr="00824666">
        <w:rPr>
          <w:rFonts w:ascii="Nyala" w:eastAsia="Calibri" w:hAnsi="Nyala" w:cs="Times New Roman"/>
          <w:b/>
        </w:rPr>
        <w:lastRenderedPageBreak/>
        <w:t>Abstracts</w:t>
      </w:r>
    </w:p>
    <w:p w:rsidR="00D82465" w:rsidRPr="00824666" w:rsidRDefault="00D82465" w:rsidP="00D82465">
      <w:pPr>
        <w:spacing w:after="0" w:line="240" w:lineRule="auto"/>
        <w:jc w:val="both"/>
        <w:rPr>
          <w:rFonts w:ascii="Nyala" w:eastAsia="Calibri" w:hAnsi="Nyala" w:cs="Times New Roman"/>
        </w:rPr>
      </w:pPr>
      <w:r w:rsidRPr="00824666">
        <w:rPr>
          <w:rFonts w:ascii="Nyala" w:eastAsia="Calibri" w:hAnsi="Nyala" w:cs="Times New Roman"/>
        </w:rPr>
        <w:t xml:space="preserve">The present study sought to investigate the capacities of single and combinatorial herbal formulations of leaf extracts of </w:t>
      </w:r>
      <w:r w:rsidRPr="00824666">
        <w:rPr>
          <w:rFonts w:ascii="Nyala" w:eastAsia="Calibri" w:hAnsi="Nyala" w:cs="Times New Roman"/>
          <w:i/>
        </w:rPr>
        <w:t xml:space="preserve">Acanthus </w:t>
      </w:r>
      <w:proofErr w:type="spellStart"/>
      <w:r w:rsidRPr="00824666">
        <w:rPr>
          <w:rFonts w:ascii="Nyala" w:eastAsia="Calibri" w:hAnsi="Nyala" w:cs="Times New Roman"/>
          <w:i/>
        </w:rPr>
        <w:t>montanus</w:t>
      </w:r>
      <w:proofErr w:type="spellEnd"/>
      <w:r w:rsidRPr="00824666">
        <w:rPr>
          <w:rFonts w:ascii="Nyala" w:eastAsia="Calibri" w:hAnsi="Nyala" w:cs="Times New Roman"/>
        </w:rPr>
        <w:t xml:space="preserve">, </w:t>
      </w:r>
      <w:proofErr w:type="spellStart"/>
      <w:r w:rsidRPr="00824666">
        <w:rPr>
          <w:rFonts w:ascii="Nyala" w:eastAsia="Calibri" w:hAnsi="Nyala" w:cs="Times New Roman"/>
          <w:i/>
        </w:rPr>
        <w:t>Asystasia</w:t>
      </w:r>
      <w:proofErr w:type="spellEnd"/>
      <w:r w:rsidRPr="00824666">
        <w:rPr>
          <w:rFonts w:ascii="Nyala" w:eastAsia="Calibri" w:hAnsi="Nyala" w:cs="Times New Roman"/>
          <w:i/>
        </w:rPr>
        <w:t xml:space="preserve"> </w:t>
      </w:r>
      <w:proofErr w:type="spellStart"/>
      <w:r w:rsidRPr="00824666">
        <w:rPr>
          <w:rFonts w:ascii="Nyala" w:eastAsia="Calibri" w:hAnsi="Nyala" w:cs="Times New Roman"/>
          <w:i/>
        </w:rPr>
        <w:t>gangetica</w:t>
      </w:r>
      <w:proofErr w:type="spellEnd"/>
      <w:r w:rsidRPr="00824666">
        <w:rPr>
          <w:rFonts w:ascii="Nyala" w:eastAsia="Calibri" w:hAnsi="Nyala" w:cs="Times New Roman"/>
        </w:rPr>
        <w:t xml:space="preserve">, </w:t>
      </w:r>
      <w:r w:rsidRPr="00824666">
        <w:rPr>
          <w:rFonts w:ascii="Nyala" w:eastAsia="Calibri" w:hAnsi="Nyala" w:cs="Times New Roman"/>
          <w:i/>
        </w:rPr>
        <w:t xml:space="preserve">Emilia </w:t>
      </w:r>
      <w:proofErr w:type="spellStart"/>
      <w:r w:rsidRPr="00824666">
        <w:rPr>
          <w:rFonts w:ascii="Nyala" w:eastAsia="Calibri" w:hAnsi="Nyala" w:cs="Times New Roman"/>
          <w:i/>
        </w:rPr>
        <w:t>coccinea</w:t>
      </w:r>
      <w:proofErr w:type="spellEnd"/>
      <w:r w:rsidRPr="00824666">
        <w:rPr>
          <w:rFonts w:ascii="Nyala" w:eastAsia="Calibri" w:hAnsi="Nyala" w:cs="Times New Roman"/>
        </w:rPr>
        <w:t xml:space="preserve"> and </w:t>
      </w:r>
      <w:r w:rsidRPr="00824666">
        <w:rPr>
          <w:rFonts w:ascii="Nyala" w:eastAsia="Calibri" w:hAnsi="Nyala" w:cs="Times New Roman"/>
          <w:i/>
        </w:rPr>
        <w:t xml:space="preserve">Hibiscus </w:t>
      </w:r>
      <w:proofErr w:type="spellStart"/>
      <w:r w:rsidRPr="00824666">
        <w:rPr>
          <w:rFonts w:ascii="Nyala" w:eastAsia="Calibri" w:hAnsi="Nyala" w:cs="Times New Roman"/>
          <w:i/>
        </w:rPr>
        <w:t>rosasinensis</w:t>
      </w:r>
      <w:proofErr w:type="spellEnd"/>
      <w:r w:rsidRPr="00824666">
        <w:rPr>
          <w:rFonts w:ascii="Nyala" w:eastAsia="Calibri" w:hAnsi="Nyala" w:cs="Times New Roman"/>
        </w:rPr>
        <w:t xml:space="preserve"> to reverse hyperglycemia and dyslipidemia in alloxan induced diabetic male rats. Phytochemical</w:t>
      </w:r>
      <w:r w:rsidRPr="00824666">
        <w:rPr>
          <w:rFonts w:ascii="Nyala" w:eastAsia="Calibri" w:hAnsi="Nyala" w:cs="Times New Roman"/>
          <w14:ligatures w14:val="standard"/>
        </w:rPr>
        <w:t xml:space="preserve"> composition of the </w:t>
      </w:r>
      <w:r w:rsidRPr="00824666">
        <w:rPr>
          <w:rFonts w:ascii="Nyala" w:eastAsia="Calibri" w:hAnsi="Nyala" w:cs="Times New Roman"/>
        </w:rPr>
        <w:t xml:space="preserve">herbal extracts, fasting plasma glucose concentration (FPGC) and serum lipid profile (SLP) of the rats </w:t>
      </w:r>
      <w:r w:rsidR="005169AF">
        <w:rPr>
          <w:rFonts w:ascii="Nyala" w:eastAsia="Calibri" w:hAnsi="Nyala" w:cs="Times New Roman"/>
          <w14:ligatures w14:val="standard"/>
        </w:rPr>
        <w:t>were measured using</w:t>
      </w:r>
      <w:r w:rsidRPr="00824666">
        <w:rPr>
          <w:rFonts w:ascii="Nyala" w:eastAsia="Calibri" w:hAnsi="Nyala" w:cs="Times New Roman"/>
          <w14:ligatures w14:val="standard"/>
        </w:rPr>
        <w:t xml:space="preserve"> standard methods.</w:t>
      </w:r>
      <w:r w:rsidRPr="00824666">
        <w:rPr>
          <w:rFonts w:ascii="Nyala" w:eastAsia="Calibri" w:hAnsi="Nyala" w:cs="Times New Roman"/>
        </w:rPr>
        <w:t xml:space="preserve"> The relative abundance of phytochemicals in the four experimental leaf extracts was in the order: flavonoids &gt; alkaloids &gt; saponins &gt; tannins. Hyperglycemic rats (</w:t>
      </w:r>
      <w:proofErr w:type="spellStart"/>
      <w:r w:rsidRPr="00824666">
        <w:rPr>
          <w:rFonts w:ascii="Nyala" w:eastAsia="Calibri" w:hAnsi="Nyala" w:cs="Times New Roman"/>
        </w:rPr>
        <w:t>HyGR</w:t>
      </w:r>
      <w:proofErr w:type="spellEnd"/>
      <w:r w:rsidRPr="00824666">
        <w:rPr>
          <w:rFonts w:ascii="Nyala" w:eastAsia="Calibri" w:hAnsi="Nyala" w:cs="Times New Roman"/>
        </w:rPr>
        <w:t xml:space="preserve">) treated with single and combinatorial herbal formulations showed evidence of reduced FPGC compared with the untreated </w:t>
      </w:r>
      <w:proofErr w:type="spellStart"/>
      <w:r w:rsidRPr="00824666">
        <w:rPr>
          <w:rFonts w:ascii="Nyala" w:eastAsia="Calibri" w:hAnsi="Nyala" w:cs="Times New Roman"/>
        </w:rPr>
        <w:t>HyGR</w:t>
      </w:r>
      <w:proofErr w:type="spellEnd"/>
      <w:r w:rsidRPr="00824666">
        <w:rPr>
          <w:rFonts w:ascii="Nyala" w:eastAsia="Calibri" w:hAnsi="Nyala" w:cs="Times New Roman"/>
        </w:rPr>
        <w:t xml:space="preserve"> and were normoglycemic (FPGC &lt; 110.0 mg/dL). Similarly, </w:t>
      </w:r>
      <w:proofErr w:type="spellStart"/>
      <w:r w:rsidRPr="00824666">
        <w:rPr>
          <w:rFonts w:ascii="Nyala" w:eastAsia="Calibri" w:hAnsi="Nyala" w:cs="Times New Roman"/>
        </w:rPr>
        <w:t>HyGR</w:t>
      </w:r>
      <w:proofErr w:type="spellEnd"/>
      <w:r w:rsidRPr="00824666">
        <w:rPr>
          <w:rFonts w:ascii="Nyala" w:eastAsia="Calibri" w:hAnsi="Nyala" w:cs="Times New Roman"/>
        </w:rPr>
        <w:t xml:space="preserve"> treated with single and combinatorial herbal formulations showed evidence of readjustments in their SLPs. Generally, </w:t>
      </w:r>
      <w:proofErr w:type="spellStart"/>
      <w:r w:rsidRPr="00824666">
        <w:rPr>
          <w:rFonts w:ascii="Nyala" w:eastAsia="Calibri" w:hAnsi="Nyala" w:cs="Times New Roman"/>
        </w:rPr>
        <w:t>HyGR</w:t>
      </w:r>
      <w:proofErr w:type="spellEnd"/>
      <w:r w:rsidRPr="00824666">
        <w:rPr>
          <w:rFonts w:ascii="Nyala" w:eastAsia="Calibri" w:hAnsi="Nyala" w:cs="Times New Roman"/>
        </w:rPr>
        <w:t xml:space="preserve"> treated with triple herbal formulations (</w:t>
      </w:r>
      <w:proofErr w:type="spellStart"/>
      <w:r w:rsidRPr="00824666">
        <w:rPr>
          <w:rFonts w:ascii="Nyala" w:eastAsia="Calibri" w:hAnsi="Nyala" w:cs="Times New Roman"/>
        </w:rPr>
        <w:t>THfs</w:t>
      </w:r>
      <w:proofErr w:type="spellEnd"/>
      <w:r w:rsidRPr="00824666">
        <w:rPr>
          <w:rFonts w:ascii="Nyala" w:eastAsia="Calibri" w:hAnsi="Nyala" w:cs="Times New Roman"/>
        </w:rPr>
        <w:t xml:space="preserve">) exhibited the highest atherogenic index compared with </w:t>
      </w:r>
      <w:proofErr w:type="spellStart"/>
      <w:r w:rsidRPr="00824666">
        <w:rPr>
          <w:rFonts w:ascii="Nyala" w:eastAsia="Calibri" w:hAnsi="Nyala" w:cs="Times New Roman"/>
        </w:rPr>
        <w:t>HyGR</w:t>
      </w:r>
      <w:proofErr w:type="spellEnd"/>
      <w:r w:rsidRPr="00824666">
        <w:rPr>
          <w:rFonts w:ascii="Nyala" w:eastAsia="Calibri" w:hAnsi="Nyala" w:cs="Times New Roman"/>
        </w:rPr>
        <w:t xml:space="preserve"> treated with single herbal formulations (</w:t>
      </w:r>
      <w:proofErr w:type="spellStart"/>
      <w:r w:rsidRPr="00824666">
        <w:rPr>
          <w:rFonts w:ascii="Nyala" w:eastAsia="Calibri" w:hAnsi="Nyala" w:cs="Times New Roman"/>
        </w:rPr>
        <w:t>SHfs</w:t>
      </w:r>
      <w:proofErr w:type="spellEnd"/>
      <w:r w:rsidRPr="00824666">
        <w:rPr>
          <w:rFonts w:ascii="Nyala" w:eastAsia="Calibri" w:hAnsi="Nyala" w:cs="Times New Roman"/>
        </w:rPr>
        <w:t>), double herbal formulations (</w:t>
      </w:r>
      <w:proofErr w:type="spellStart"/>
      <w:r w:rsidRPr="00824666">
        <w:rPr>
          <w:rFonts w:ascii="Nyala" w:eastAsia="Calibri" w:hAnsi="Nyala" w:cs="Times New Roman"/>
        </w:rPr>
        <w:t>DHfs</w:t>
      </w:r>
      <w:proofErr w:type="spellEnd"/>
      <w:r w:rsidRPr="00824666">
        <w:rPr>
          <w:rFonts w:ascii="Nyala" w:eastAsia="Calibri" w:hAnsi="Nyala" w:cs="Times New Roman"/>
        </w:rPr>
        <w:t>) and quadruple herbal formulation (</w:t>
      </w:r>
      <w:proofErr w:type="spellStart"/>
      <w:r w:rsidRPr="00824666">
        <w:rPr>
          <w:rFonts w:ascii="Nyala" w:eastAsia="Calibri" w:hAnsi="Nyala" w:cs="Times New Roman"/>
        </w:rPr>
        <w:t>QHf</w:t>
      </w:r>
      <w:proofErr w:type="spellEnd"/>
      <w:r w:rsidRPr="00824666">
        <w:rPr>
          <w:rFonts w:ascii="Nyala" w:eastAsia="Calibri" w:hAnsi="Nyala" w:cs="Times New Roman"/>
        </w:rPr>
        <w:t>). The display of synergy or antagonism by the composite herbal extracts in ameliorating hyperglycemia and dyslipidemia depended on the type and number of individual herbal extract used in constituting the experimental herbal</w:t>
      </w:r>
      <w:r w:rsidR="00DE6F8B" w:rsidRPr="00824666">
        <w:rPr>
          <w:rFonts w:ascii="Nyala" w:eastAsia="Calibri" w:hAnsi="Nyala" w:cs="Times New Roman"/>
        </w:rPr>
        <w:t xml:space="preserve"> </w:t>
      </w:r>
      <w:r w:rsidRPr="00824666">
        <w:rPr>
          <w:rFonts w:ascii="Nyala" w:eastAsia="Calibri" w:hAnsi="Nyala" w:cs="Times New Roman"/>
        </w:rPr>
        <w:t>formulations. Furthermore, the capacities of the herbal formulations (</w:t>
      </w:r>
      <w:proofErr w:type="spellStart"/>
      <w:r w:rsidRPr="00824666">
        <w:rPr>
          <w:rFonts w:ascii="Nyala" w:eastAsia="Calibri" w:hAnsi="Nyala" w:cs="Times New Roman"/>
        </w:rPr>
        <w:t>SHfs</w:t>
      </w:r>
      <w:proofErr w:type="spellEnd"/>
      <w:r w:rsidRPr="00824666">
        <w:rPr>
          <w:rFonts w:ascii="Nyala" w:eastAsia="Calibri" w:hAnsi="Nyala" w:cs="Times New Roman"/>
        </w:rPr>
        <w:t xml:space="preserve">, </w:t>
      </w:r>
      <w:proofErr w:type="spellStart"/>
      <w:r w:rsidRPr="00824666">
        <w:rPr>
          <w:rFonts w:ascii="Nyala" w:eastAsia="Calibri" w:hAnsi="Nyala" w:cs="Times New Roman"/>
        </w:rPr>
        <w:t>DHfs</w:t>
      </w:r>
      <w:proofErr w:type="spellEnd"/>
      <w:r w:rsidRPr="00824666">
        <w:rPr>
          <w:rFonts w:ascii="Nyala" w:eastAsia="Calibri" w:hAnsi="Nyala" w:cs="Times New Roman"/>
        </w:rPr>
        <w:t xml:space="preserve">, </w:t>
      </w:r>
      <w:proofErr w:type="spellStart"/>
      <w:r w:rsidRPr="00824666">
        <w:rPr>
          <w:rFonts w:ascii="Nyala" w:eastAsia="Calibri" w:hAnsi="Nyala" w:cs="Times New Roman"/>
        </w:rPr>
        <w:t>THfs</w:t>
      </w:r>
      <w:proofErr w:type="spellEnd"/>
      <w:r w:rsidRPr="00824666">
        <w:rPr>
          <w:rFonts w:ascii="Nyala" w:eastAsia="Calibri" w:hAnsi="Nyala" w:cs="Times New Roman"/>
        </w:rPr>
        <w:t xml:space="preserve">, and </w:t>
      </w:r>
      <w:proofErr w:type="spellStart"/>
      <w:r w:rsidRPr="00824666">
        <w:rPr>
          <w:rFonts w:ascii="Nyala" w:eastAsia="Calibri" w:hAnsi="Nyala" w:cs="Times New Roman"/>
        </w:rPr>
        <w:t>QHf</w:t>
      </w:r>
      <w:proofErr w:type="spellEnd"/>
      <w:r w:rsidRPr="00824666">
        <w:rPr>
          <w:rFonts w:ascii="Nyala" w:eastAsia="Calibri" w:hAnsi="Nyala" w:cs="Times New Roman"/>
        </w:rPr>
        <w:t xml:space="preserve">) to exert glycemic control and reverse dyslipidemia did not follow predictable patterns in the animal models. </w:t>
      </w:r>
    </w:p>
    <w:p w:rsidR="00F45645" w:rsidRPr="00824666" w:rsidRDefault="00F45645" w:rsidP="00D82465">
      <w:pPr>
        <w:widowControl w:val="0"/>
        <w:spacing w:after="0" w:line="240" w:lineRule="auto"/>
        <w:ind w:left="100"/>
        <w:outlineLvl w:val="2"/>
        <w:rPr>
          <w:rFonts w:ascii="Nyala" w:eastAsia="Arial" w:hAnsi="Nyala" w:cs="Arial"/>
          <w:b/>
          <w:bCs/>
        </w:rPr>
      </w:pPr>
      <w:r w:rsidRPr="00824666">
        <w:rPr>
          <w:rFonts w:ascii="Nyala" w:eastAsia="Arial" w:hAnsi="Nyala" w:cs="Arial"/>
          <w:bCs/>
        </w:rPr>
        <w:br w:type="column"/>
      </w:r>
      <w:r w:rsidRPr="00824666">
        <w:rPr>
          <w:rFonts w:ascii="Nyala" w:eastAsia="Arial" w:hAnsi="Nyala" w:cs="Arial"/>
          <w:b/>
          <w:bCs/>
        </w:rPr>
        <w:lastRenderedPageBreak/>
        <w:t>Image</w:t>
      </w:r>
      <w:r w:rsidR="00D82465" w:rsidRPr="00824666">
        <w:rPr>
          <w:rFonts w:ascii="Nyala" w:hAnsi="Nyala"/>
          <w:b/>
          <w:noProof/>
        </w:rPr>
        <w:drawing>
          <wp:inline distT="0" distB="0" distL="0" distR="0" wp14:anchorId="025D04E7" wp14:editId="4591D0DC">
            <wp:extent cx="3164619" cy="1717481"/>
            <wp:effectExtent l="0" t="0" r="17145"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C78DB" w:rsidRPr="00824666" w:rsidRDefault="00F45645" w:rsidP="00D82465">
      <w:pPr>
        <w:spacing w:after="0" w:line="240" w:lineRule="auto"/>
        <w:jc w:val="both"/>
        <w:rPr>
          <w:rFonts w:ascii="Nyala" w:eastAsia="Calibri" w:hAnsi="Nyala" w:cs="Times New Roman"/>
        </w:rPr>
      </w:pPr>
      <w:r w:rsidRPr="00824666">
        <w:rPr>
          <w:rFonts w:ascii="Nyala" w:hAnsi="Nyala" w:cs="Times New Roman"/>
          <w:b/>
          <w:bCs/>
          <w:iCs/>
        </w:rPr>
        <w:t xml:space="preserve">Figure 1: </w:t>
      </w:r>
      <w:r w:rsidR="00D82465" w:rsidRPr="00824666">
        <w:rPr>
          <w:rFonts w:ascii="Nyala" w:eastAsia="Calibri" w:hAnsi="Nyala" w:cs="Times New Roman"/>
        </w:rPr>
        <w:t>Fasting blood glucose concentrations and lipid profile of normal and hyperglycemic rats treated with single and combinatorial herbal formulations.</w:t>
      </w:r>
    </w:p>
    <w:p w:rsidR="00F45645" w:rsidRPr="00824666" w:rsidRDefault="00E7312A" w:rsidP="00D82465">
      <w:pPr>
        <w:autoSpaceDE w:val="0"/>
        <w:autoSpaceDN w:val="0"/>
        <w:adjustRightInd w:val="0"/>
        <w:spacing w:after="0" w:line="240" w:lineRule="auto"/>
        <w:jc w:val="both"/>
        <w:rPr>
          <w:rFonts w:ascii="Nyala" w:eastAsia="Tw Cen MT" w:hAnsi="Nyala" w:cs="Tw Cen MT"/>
          <w:b/>
        </w:rPr>
      </w:pPr>
      <w:r>
        <w:rPr>
          <w:rFonts w:ascii="Nyala" w:eastAsia="Tw Cen MT" w:hAnsi="Nyala" w:cs="Tw Cen MT"/>
          <w:b/>
        </w:rPr>
        <w:t>Recent Publications</w:t>
      </w:r>
    </w:p>
    <w:p w:rsidR="00AB61E2" w:rsidRPr="00824666" w:rsidRDefault="00CC30AE" w:rsidP="00D82465">
      <w:pPr>
        <w:widowControl w:val="0"/>
        <w:numPr>
          <w:ilvl w:val="0"/>
          <w:numId w:val="1"/>
        </w:numPr>
        <w:tabs>
          <w:tab w:val="left" w:pos="384"/>
        </w:tabs>
        <w:spacing w:after="0" w:line="240" w:lineRule="auto"/>
        <w:ind w:right="138"/>
        <w:jc w:val="both"/>
        <w:rPr>
          <w:rFonts w:ascii="Nyala" w:eastAsia="Calibri" w:hAnsi="Nyala" w:cs="Calibri"/>
        </w:rPr>
      </w:pPr>
      <w:proofErr w:type="spellStart"/>
      <w:r w:rsidRPr="00824666">
        <w:rPr>
          <w:rFonts w:ascii="Nyala" w:hAnsi="Nyala" w:cs="Calibri"/>
        </w:rPr>
        <w:t>Ezekwe</w:t>
      </w:r>
      <w:proofErr w:type="spellEnd"/>
      <w:r w:rsidRPr="00824666">
        <w:rPr>
          <w:rFonts w:ascii="Nyala" w:hAnsi="Nyala"/>
        </w:rPr>
        <w:t>,</w:t>
      </w:r>
      <w:r w:rsidRPr="00824666">
        <w:rPr>
          <w:rFonts w:ascii="Nyala" w:hAnsi="Nyala" w:cs="Calibri"/>
        </w:rPr>
        <w:t xml:space="preserve"> S.A. and </w:t>
      </w:r>
      <w:r w:rsidRPr="00824666">
        <w:rPr>
          <w:rFonts w:ascii="Nyala" w:hAnsi="Nyala" w:cs="Calibri"/>
          <w:b/>
        </w:rPr>
        <w:t>Chikezie, P.C.</w:t>
      </w:r>
      <w:r w:rsidRPr="00824666">
        <w:rPr>
          <w:rFonts w:ascii="Nyala" w:hAnsi="Nyala" w:cs="Calibri"/>
          <w:lang w:val="en-GB"/>
        </w:rPr>
        <w:t xml:space="preserve"> </w:t>
      </w:r>
      <w:r w:rsidRPr="00824666">
        <w:rPr>
          <w:rFonts w:ascii="Nyala" w:hAnsi="Nyala"/>
        </w:rPr>
        <w:t xml:space="preserve">(2017). </w:t>
      </w:r>
      <w:r w:rsidRPr="00824666">
        <w:rPr>
          <w:rFonts w:ascii="Nyala" w:hAnsi="Nyala" w:cs="Calibri"/>
        </w:rPr>
        <w:t xml:space="preserve">GC-MS analysis and hypoglycemic </w:t>
      </w:r>
      <w:r w:rsidRPr="00824666">
        <w:rPr>
          <w:rFonts w:ascii="Nyala" w:eastAsia="ArialUnicodeMS-WinCharSetFFFF-H" w:hAnsi="Nyala" w:cs="Calibri"/>
        </w:rPr>
        <w:t>activity</w:t>
      </w:r>
      <w:r w:rsidRPr="00824666">
        <w:rPr>
          <w:rFonts w:ascii="Nyala" w:hAnsi="Nyala" w:cs="Calibri"/>
        </w:rPr>
        <w:t xml:space="preserve"> of aqueous root extract of </w:t>
      </w:r>
      <w:proofErr w:type="spellStart"/>
      <w:r w:rsidRPr="00824666">
        <w:rPr>
          <w:rFonts w:ascii="Nyala" w:hAnsi="Nyala" w:cs="Calibri"/>
          <w:bCs/>
          <w:i/>
          <w:iCs/>
        </w:rPr>
        <w:t>Carica</w:t>
      </w:r>
      <w:proofErr w:type="spellEnd"/>
      <w:r w:rsidRPr="00824666">
        <w:rPr>
          <w:rFonts w:ascii="Nyala" w:hAnsi="Nyala" w:cs="Calibri"/>
          <w:bCs/>
          <w:i/>
          <w:iCs/>
        </w:rPr>
        <w:t xml:space="preserve"> papaya </w:t>
      </w:r>
      <w:r w:rsidRPr="00824666">
        <w:rPr>
          <w:rFonts w:ascii="Nyala" w:hAnsi="Nyala" w:cs="Calibri"/>
          <w:bCs/>
        </w:rPr>
        <w:t>and its effects on blood lipid profile and hepatorenal tissues biomarkers of diabetic rats</w:t>
      </w:r>
      <w:r w:rsidRPr="00824666">
        <w:rPr>
          <w:rFonts w:ascii="Nyala" w:hAnsi="Nyala" w:cs="Calibri"/>
          <w:iCs/>
        </w:rPr>
        <w:t>.</w:t>
      </w:r>
      <w:r w:rsidRPr="00824666">
        <w:rPr>
          <w:rFonts w:ascii="Nyala" w:hAnsi="Nyala" w:cs="Calibri"/>
        </w:rPr>
        <w:t xml:space="preserve"> </w:t>
      </w:r>
      <w:r w:rsidRPr="00824666">
        <w:rPr>
          <w:rFonts w:ascii="Nyala" w:hAnsi="Nyala" w:cs="Arial"/>
          <w:i/>
        </w:rPr>
        <w:t>Journal of Diabetes and Metabolism</w:t>
      </w:r>
      <w:r w:rsidRPr="00824666">
        <w:rPr>
          <w:rFonts w:ascii="Nyala" w:hAnsi="Nyala"/>
          <w:i/>
        </w:rPr>
        <w:t xml:space="preserve">. </w:t>
      </w:r>
      <w:r w:rsidRPr="00824666">
        <w:rPr>
          <w:rFonts w:ascii="Nyala" w:hAnsi="Nyala" w:cs="Verdana"/>
          <w:i/>
        </w:rPr>
        <w:t>8</w:t>
      </w:r>
      <w:r w:rsidRPr="00824666">
        <w:rPr>
          <w:rFonts w:ascii="Nyala" w:hAnsi="Nyala" w:cs="Verdana"/>
        </w:rPr>
        <w:t>(</w:t>
      </w:r>
      <w:r w:rsidRPr="00824666">
        <w:rPr>
          <w:rFonts w:ascii="Nyala" w:hAnsi="Nyala" w:cs="Tunga"/>
        </w:rPr>
        <w:t>5</w:t>
      </w:r>
      <w:r w:rsidRPr="00824666">
        <w:rPr>
          <w:rFonts w:ascii="Nyala" w:hAnsi="Nyala" w:cs="Verdana"/>
        </w:rPr>
        <w:t>):508, 9 pages</w:t>
      </w:r>
      <w:r w:rsidRPr="00824666">
        <w:rPr>
          <w:rFonts w:ascii="Nyala" w:hAnsi="Nyala"/>
          <w:i/>
        </w:rPr>
        <w:t>.</w:t>
      </w:r>
    </w:p>
    <w:p w:rsidR="00AB61E2" w:rsidRPr="00824666" w:rsidRDefault="00AB61E2" w:rsidP="00D82465">
      <w:pPr>
        <w:widowControl w:val="0"/>
        <w:numPr>
          <w:ilvl w:val="0"/>
          <w:numId w:val="1"/>
        </w:numPr>
        <w:tabs>
          <w:tab w:val="left" w:pos="384"/>
        </w:tabs>
        <w:spacing w:after="0" w:line="240" w:lineRule="auto"/>
        <w:ind w:hanging="283"/>
        <w:jc w:val="both"/>
        <w:rPr>
          <w:rFonts w:ascii="Nyala" w:eastAsia="Calibri" w:hAnsi="Nyala" w:cs="Calibri"/>
        </w:rPr>
      </w:pPr>
      <w:proofErr w:type="spellStart"/>
      <w:r w:rsidRPr="00824666">
        <w:rPr>
          <w:rFonts w:ascii="Nyala" w:eastAsia="Calibri" w:hAnsi="Nyala" w:cs="Times New Roman"/>
        </w:rPr>
        <w:t>Ojiako</w:t>
      </w:r>
      <w:proofErr w:type="spellEnd"/>
      <w:r w:rsidRPr="00824666">
        <w:rPr>
          <w:rFonts w:ascii="Nyala" w:eastAsia="Calibri" w:hAnsi="Nyala" w:cs="Times New Roman"/>
        </w:rPr>
        <w:t xml:space="preserve">, A.O., </w:t>
      </w:r>
      <w:r w:rsidRPr="00824666">
        <w:rPr>
          <w:rFonts w:ascii="Nyala" w:eastAsia="Calibri" w:hAnsi="Nyala" w:cs="Times New Roman"/>
          <w:b/>
        </w:rPr>
        <w:t>Chikezie, P.C.</w:t>
      </w:r>
      <w:r w:rsidRPr="00824666">
        <w:rPr>
          <w:rFonts w:ascii="Nyala" w:eastAsia="Calibri" w:hAnsi="Nyala" w:cs="Times New Roman"/>
        </w:rPr>
        <w:t xml:space="preserve"> and </w:t>
      </w:r>
      <w:proofErr w:type="spellStart"/>
      <w:r w:rsidRPr="00824666">
        <w:rPr>
          <w:rFonts w:ascii="Nyala" w:eastAsia="Calibri" w:hAnsi="Nyala" w:cs="Times New Roman"/>
        </w:rPr>
        <w:t>Ogbuji</w:t>
      </w:r>
      <w:proofErr w:type="spellEnd"/>
      <w:r w:rsidRPr="00824666">
        <w:rPr>
          <w:rFonts w:ascii="Nyala" w:eastAsia="Calibri" w:hAnsi="Nyala" w:cs="Times New Roman"/>
        </w:rPr>
        <w:t>, C.A.</w:t>
      </w:r>
      <w:r w:rsidRPr="00824666">
        <w:rPr>
          <w:rFonts w:ascii="Nyala" w:eastAsia="Calibri" w:hAnsi="Nyala" w:cs="Times New Roman"/>
          <w:vertAlign w:val="superscript"/>
        </w:rPr>
        <w:t xml:space="preserve"> </w:t>
      </w:r>
      <w:r w:rsidRPr="00824666">
        <w:rPr>
          <w:rFonts w:ascii="Nyala" w:eastAsia="Calibri" w:hAnsi="Nyala" w:cs="Times New Roman"/>
        </w:rPr>
        <w:t>(2015).</w:t>
      </w:r>
      <w:r w:rsidRPr="00824666">
        <w:rPr>
          <w:rFonts w:ascii="Nyala" w:eastAsia="Calibri" w:hAnsi="Nyala" w:cs="Times New Roman"/>
          <w:vertAlign w:val="superscript"/>
        </w:rPr>
        <w:t xml:space="preserve"> </w:t>
      </w:r>
      <w:r w:rsidRPr="00824666">
        <w:rPr>
          <w:rFonts w:ascii="Nyala" w:eastAsia="Calibri" w:hAnsi="Nyala" w:cs="Times New Roman"/>
          <w:bCs/>
        </w:rPr>
        <w:t>Histopathological studies</w:t>
      </w:r>
      <w:r w:rsidRPr="00824666">
        <w:rPr>
          <w:rFonts w:ascii="Nyala" w:eastAsia="Calibri" w:hAnsi="Nyala" w:cs="Times New Roman"/>
        </w:rPr>
        <w:t xml:space="preserve"> of renal and hepatic tissues of hyperglycemic rats administered traditional herbal formulations.</w:t>
      </w:r>
      <w:r w:rsidRPr="00824666">
        <w:rPr>
          <w:rFonts w:ascii="Nyala" w:eastAsia="Calibri" w:hAnsi="Nyala" w:cs="Times New Roman"/>
          <w:iCs/>
        </w:rPr>
        <w:t xml:space="preserve"> </w:t>
      </w:r>
      <w:r w:rsidRPr="00824666">
        <w:rPr>
          <w:rFonts w:ascii="Nyala" w:eastAsia="Calibri" w:hAnsi="Nyala" w:cs="Times New Roman"/>
          <w:i/>
        </w:rPr>
        <w:t xml:space="preserve">International Journal of Green Pharmacy. </w:t>
      </w:r>
      <w:r w:rsidRPr="00824666">
        <w:rPr>
          <w:rFonts w:ascii="Nyala" w:eastAsia="Calibri" w:hAnsi="Nyala" w:cs="Times New Roman"/>
          <w:bCs/>
          <w:i/>
        </w:rPr>
        <w:t>9</w:t>
      </w:r>
      <w:r w:rsidRPr="00824666">
        <w:rPr>
          <w:rFonts w:ascii="Nyala" w:eastAsia="Calibri" w:hAnsi="Nyala" w:cs="Times New Roman"/>
          <w:bCs/>
        </w:rPr>
        <w:t xml:space="preserve">(3), </w:t>
      </w:r>
      <w:r w:rsidRPr="00824666">
        <w:rPr>
          <w:rFonts w:ascii="Nyala" w:eastAsia="Calibri" w:hAnsi="Nyala" w:cs="Helvetica"/>
        </w:rPr>
        <w:t>184-191.</w:t>
      </w:r>
    </w:p>
    <w:p w:rsidR="00AB61E2" w:rsidRPr="00824666" w:rsidRDefault="00AB61E2" w:rsidP="00D82465">
      <w:pPr>
        <w:widowControl w:val="0"/>
        <w:numPr>
          <w:ilvl w:val="0"/>
          <w:numId w:val="1"/>
        </w:numPr>
        <w:tabs>
          <w:tab w:val="left" w:pos="384"/>
        </w:tabs>
        <w:spacing w:after="0" w:line="240" w:lineRule="auto"/>
        <w:ind w:hanging="283"/>
        <w:jc w:val="both"/>
        <w:rPr>
          <w:rFonts w:ascii="Nyala" w:eastAsia="Calibri" w:hAnsi="Nyala" w:cs="Calibri"/>
        </w:rPr>
      </w:pPr>
      <w:r w:rsidRPr="00824666">
        <w:rPr>
          <w:rFonts w:ascii="Nyala" w:eastAsia="Calibri" w:hAnsi="Nyala" w:cs="Times New Roman"/>
          <w:b/>
        </w:rPr>
        <w:t xml:space="preserve">Chikezie, P.C. </w:t>
      </w:r>
      <w:r w:rsidRPr="00824666">
        <w:rPr>
          <w:rFonts w:ascii="Nyala" w:eastAsia="Calibri" w:hAnsi="Nyala" w:cs="Times New Roman"/>
        </w:rPr>
        <w:t>(2015). Short-term capacities of ethanolic</w:t>
      </w:r>
      <w:r w:rsidRPr="00824666">
        <w:rPr>
          <w:rFonts w:ascii="Nyala" w:eastAsia="Calibri" w:hAnsi="Nyala" w:cs="Times New Roman"/>
          <w:i/>
        </w:rPr>
        <w:t xml:space="preserve"> </w:t>
      </w:r>
      <w:proofErr w:type="spellStart"/>
      <w:r w:rsidRPr="00824666">
        <w:rPr>
          <w:rFonts w:ascii="Nyala" w:eastAsia="Calibri" w:hAnsi="Nyala" w:cs="Times New Roman"/>
          <w:i/>
        </w:rPr>
        <w:t>Theobroma</w:t>
      </w:r>
      <w:proofErr w:type="spellEnd"/>
      <w:r w:rsidRPr="00824666">
        <w:rPr>
          <w:rFonts w:ascii="Nyala" w:eastAsia="Calibri" w:hAnsi="Nyala" w:cs="Times New Roman"/>
          <w:i/>
        </w:rPr>
        <w:t xml:space="preserve"> cacao </w:t>
      </w:r>
      <w:r w:rsidRPr="00824666">
        <w:rPr>
          <w:rFonts w:ascii="Nyala" w:eastAsia="Calibri" w:hAnsi="Nyala" w:cs="Times New Roman"/>
        </w:rPr>
        <w:t xml:space="preserve">bean extract to ameliorate oxidative stress, hyperglycemia and dyslipidemia in alloxan-induced diabetic rats. </w:t>
      </w:r>
      <w:r w:rsidRPr="00824666">
        <w:rPr>
          <w:rFonts w:ascii="Nyala" w:eastAsia="Calibri" w:hAnsi="Nyala" w:cs="Calibri"/>
          <w:i/>
        </w:rPr>
        <w:t>Journal of Investigational Biochemistry</w:t>
      </w:r>
      <w:r w:rsidRPr="00824666">
        <w:rPr>
          <w:rFonts w:ascii="Nyala" w:eastAsia="Calibri" w:hAnsi="Nyala" w:cs="Times New Roman"/>
        </w:rPr>
        <w:t>.</w:t>
      </w:r>
      <w:r w:rsidRPr="00824666">
        <w:rPr>
          <w:rFonts w:ascii="Nyala" w:eastAsia="Calibri" w:hAnsi="Nyala" w:cs="Times New Roman"/>
          <w:i/>
        </w:rPr>
        <w:t xml:space="preserve"> 4</w:t>
      </w:r>
      <w:r w:rsidRPr="00824666">
        <w:rPr>
          <w:rFonts w:ascii="Nyala" w:eastAsia="Calibri" w:hAnsi="Nyala" w:cs="Times New Roman"/>
        </w:rPr>
        <w:t xml:space="preserve">(1), 23-29. </w:t>
      </w:r>
    </w:p>
    <w:p w:rsidR="00AB61E2" w:rsidRPr="00824666" w:rsidRDefault="00AB61E2" w:rsidP="00D82465">
      <w:pPr>
        <w:widowControl w:val="0"/>
        <w:numPr>
          <w:ilvl w:val="0"/>
          <w:numId w:val="1"/>
        </w:numPr>
        <w:tabs>
          <w:tab w:val="left" w:pos="384"/>
        </w:tabs>
        <w:spacing w:after="0" w:line="240" w:lineRule="auto"/>
        <w:ind w:hanging="283"/>
        <w:jc w:val="both"/>
        <w:rPr>
          <w:rFonts w:ascii="Nyala" w:eastAsia="Calibri" w:hAnsi="Nyala" w:cs="Calibri"/>
        </w:rPr>
      </w:pPr>
      <w:r w:rsidRPr="00824666">
        <w:rPr>
          <w:rFonts w:ascii="Nyala" w:eastAsia="Calibri" w:hAnsi="Nyala" w:cs="Times New Roman"/>
          <w:b/>
        </w:rPr>
        <w:t>Chikezie, P.C.</w:t>
      </w:r>
      <w:r w:rsidRPr="00824666">
        <w:rPr>
          <w:rFonts w:ascii="Nyala" w:eastAsia="Calibri" w:hAnsi="Nyala" w:cs="Times New Roman"/>
        </w:rPr>
        <w:t xml:space="preserve">, </w:t>
      </w:r>
      <w:proofErr w:type="spellStart"/>
      <w:r w:rsidRPr="00824666">
        <w:rPr>
          <w:rFonts w:ascii="Nyala" w:eastAsia="Calibri" w:hAnsi="Nyala" w:cs="Times New Roman"/>
        </w:rPr>
        <w:t>Ojiako</w:t>
      </w:r>
      <w:proofErr w:type="spellEnd"/>
      <w:r w:rsidRPr="00824666">
        <w:rPr>
          <w:rFonts w:ascii="Nyala" w:eastAsia="Calibri" w:hAnsi="Nyala" w:cs="Times New Roman"/>
        </w:rPr>
        <w:t xml:space="preserve">, A.O. and </w:t>
      </w:r>
      <w:proofErr w:type="spellStart"/>
      <w:r w:rsidRPr="00824666">
        <w:rPr>
          <w:rFonts w:ascii="Nyala" w:eastAsia="Calibri" w:hAnsi="Nyala" w:cs="Times New Roman"/>
        </w:rPr>
        <w:t>Nwufo</w:t>
      </w:r>
      <w:proofErr w:type="spellEnd"/>
      <w:r w:rsidRPr="00824666">
        <w:rPr>
          <w:rFonts w:ascii="Nyala" w:eastAsia="Calibri" w:hAnsi="Nyala" w:cs="Times New Roman"/>
        </w:rPr>
        <w:t>,</w:t>
      </w:r>
      <w:r w:rsidRPr="00824666">
        <w:rPr>
          <w:rFonts w:ascii="Nyala" w:eastAsia="Calibri" w:hAnsi="Nyala" w:cs="Times New Roman"/>
          <w:vertAlign w:val="superscript"/>
        </w:rPr>
        <w:t xml:space="preserve"> </w:t>
      </w:r>
      <w:r w:rsidRPr="00824666">
        <w:rPr>
          <w:rFonts w:ascii="Nyala" w:eastAsia="Calibri" w:hAnsi="Nyala" w:cs="Times New Roman"/>
        </w:rPr>
        <w:t>K.C. (2015). Overview of anti-diabetic medicinal plants: The Nigerian research experience.</w:t>
      </w:r>
      <w:r w:rsidRPr="00824666">
        <w:rPr>
          <w:rFonts w:ascii="Nyala" w:eastAsia="Times New Roman" w:hAnsi="Nyala" w:cs="Times New Roman"/>
          <w:i/>
        </w:rPr>
        <w:t xml:space="preserve"> Journal of Diabetes and Metabolism.</w:t>
      </w:r>
      <w:r w:rsidRPr="00824666">
        <w:rPr>
          <w:rFonts w:ascii="Nyala" w:eastAsia="Calibri" w:hAnsi="Nyala" w:cs="Times New Roman"/>
        </w:rPr>
        <w:t xml:space="preserve"> </w:t>
      </w:r>
      <w:r w:rsidRPr="00824666">
        <w:rPr>
          <w:rFonts w:ascii="Nyala" w:eastAsia="Calibri" w:hAnsi="Nyala" w:cs="Tunga"/>
          <w:i/>
        </w:rPr>
        <w:t>6</w:t>
      </w:r>
      <w:r w:rsidRPr="00824666">
        <w:rPr>
          <w:rFonts w:ascii="Nyala" w:eastAsia="Calibri" w:hAnsi="Nyala" w:cs="Tunga"/>
        </w:rPr>
        <w:t>(6):546, 7 pages.</w:t>
      </w:r>
    </w:p>
    <w:p w:rsidR="00F45645" w:rsidRPr="00824666" w:rsidRDefault="00BC78DB" w:rsidP="00D82465">
      <w:pPr>
        <w:widowControl w:val="0"/>
        <w:numPr>
          <w:ilvl w:val="0"/>
          <w:numId w:val="1"/>
        </w:numPr>
        <w:tabs>
          <w:tab w:val="left" w:pos="384"/>
        </w:tabs>
        <w:spacing w:after="0" w:line="240" w:lineRule="auto"/>
        <w:ind w:right="138" w:hanging="283"/>
        <w:jc w:val="both"/>
        <w:rPr>
          <w:rFonts w:ascii="Nyala" w:eastAsia="Calibri" w:hAnsi="Nyala" w:cs="Calibri"/>
        </w:rPr>
        <w:sectPr w:rsidR="00F45645" w:rsidRPr="00824666">
          <w:type w:val="continuous"/>
          <w:pgSz w:w="11910" w:h="16840"/>
          <w:pgMar w:top="1740" w:right="600" w:bottom="840" w:left="620" w:header="720" w:footer="720" w:gutter="0"/>
          <w:cols w:num="2" w:space="720" w:equalWidth="0">
            <w:col w:w="5214" w:space="138"/>
            <w:col w:w="5338"/>
          </w:cols>
        </w:sectPr>
      </w:pPr>
      <w:r w:rsidRPr="00824666">
        <w:rPr>
          <w:rFonts w:ascii="Nyala" w:hAnsi="Nyala" w:cs="Calibri"/>
          <w:b/>
        </w:rPr>
        <w:t>Chikezie, P.C</w:t>
      </w:r>
      <w:r w:rsidRPr="00824666">
        <w:rPr>
          <w:rFonts w:ascii="Nyala" w:eastAsia="Times New Roman" w:hAnsi="Nyala" w:cs="Calibri"/>
          <w:b/>
        </w:rPr>
        <w:t>.</w:t>
      </w:r>
      <w:r w:rsidRPr="00824666">
        <w:rPr>
          <w:rFonts w:ascii="Nyala" w:eastAsia="Times New Roman" w:hAnsi="Nyala" w:cs="Calibri"/>
        </w:rPr>
        <w:t xml:space="preserve"> and </w:t>
      </w:r>
      <w:proofErr w:type="spellStart"/>
      <w:r w:rsidRPr="00824666">
        <w:rPr>
          <w:rFonts w:ascii="Nyala" w:eastAsia="Times New Roman" w:hAnsi="Nyala" w:cs="Calibri"/>
        </w:rPr>
        <w:t>Uwakwe</w:t>
      </w:r>
      <w:proofErr w:type="spellEnd"/>
      <w:r w:rsidRPr="00824666">
        <w:rPr>
          <w:rFonts w:ascii="Nyala" w:hAnsi="Nyala" w:cs="Calibri"/>
        </w:rPr>
        <w:t xml:space="preserve">, A.A. (2014). </w:t>
      </w:r>
      <w:r w:rsidRPr="00824666">
        <w:rPr>
          <w:rFonts w:ascii="Nyala" w:eastAsia="Times New Roman" w:hAnsi="Nyala"/>
        </w:rPr>
        <w:t xml:space="preserve">Protective effect of </w:t>
      </w:r>
      <w:r w:rsidRPr="00824666">
        <w:rPr>
          <w:rFonts w:ascii="Nyala" w:eastAsia="Times New Roman" w:hAnsi="Nyala"/>
          <w:i/>
        </w:rPr>
        <w:t>Allium Sativa</w:t>
      </w:r>
      <w:r w:rsidRPr="00824666">
        <w:rPr>
          <w:rFonts w:ascii="Nyala" w:eastAsia="Times New Roman" w:hAnsi="Nyala"/>
        </w:rPr>
        <w:t xml:space="preserve"> extract </w:t>
      </w:r>
      <w:r w:rsidRPr="00824666">
        <w:rPr>
          <w:rFonts w:ascii="Nyala" w:hAnsi="Nyala"/>
        </w:rPr>
        <w:t>against</w:t>
      </w:r>
      <w:r w:rsidRPr="00824666">
        <w:rPr>
          <w:rFonts w:ascii="Nyala" w:eastAsia="Times New Roman" w:hAnsi="Nyala"/>
        </w:rPr>
        <w:t xml:space="preserve"> carbon tetrachloride-induced hepatic oxidative stress and hyperlipidemia in rats</w:t>
      </w:r>
      <w:r w:rsidRPr="00824666">
        <w:rPr>
          <w:rFonts w:ascii="Nyala" w:hAnsi="Nyala" w:cs="Calibri"/>
        </w:rPr>
        <w:t xml:space="preserve">. </w:t>
      </w:r>
      <w:r w:rsidRPr="00824666">
        <w:rPr>
          <w:rFonts w:ascii="Nyala" w:hAnsi="Nyala"/>
          <w:i/>
        </w:rPr>
        <w:t>African Journal of Biotechnology. 13</w:t>
      </w:r>
      <w:r w:rsidRPr="00824666">
        <w:rPr>
          <w:rFonts w:ascii="Nyala" w:hAnsi="Nyala"/>
        </w:rPr>
        <w:t xml:space="preserve">(15), 1671-1678. </w:t>
      </w:r>
    </w:p>
    <w:p w:rsidR="00F45645" w:rsidRPr="00824666" w:rsidRDefault="00F45645" w:rsidP="00D82465">
      <w:pPr>
        <w:widowControl w:val="0"/>
        <w:spacing w:after="0" w:line="240" w:lineRule="auto"/>
        <w:ind w:left="2202"/>
        <w:rPr>
          <w:rFonts w:ascii="Nyala" w:eastAsia="Tw Cen MT" w:hAnsi="Nyala" w:cs="Tw Cen MT"/>
        </w:rPr>
      </w:pPr>
      <w:r w:rsidRPr="00824666">
        <w:rPr>
          <w:rFonts w:ascii="Nyala" w:eastAsia="Tw Cen MT" w:hAnsi="Nyala" w:cs="Tw Cen MT"/>
          <w:noProof/>
        </w:rPr>
        <w:lastRenderedPageBreak/>
        <mc:AlternateContent>
          <mc:Choice Requires="wpg">
            <w:drawing>
              <wp:inline distT="0" distB="0" distL="0" distR="0" wp14:anchorId="577EF16F" wp14:editId="3C0124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45645" w:rsidRPr="00824666" w:rsidRDefault="00F45645" w:rsidP="00D82465">
      <w:pPr>
        <w:widowControl w:val="0"/>
        <w:spacing w:before="92" w:after="0" w:line="240" w:lineRule="auto"/>
        <w:ind w:right="4234"/>
        <w:rPr>
          <w:rFonts w:ascii="Nyala" w:eastAsia="Tw Cen MT" w:hAnsi="Nyala" w:cs="Tw Cen MT"/>
        </w:rPr>
      </w:pPr>
      <w:r w:rsidRPr="00824666">
        <w:rPr>
          <w:rFonts w:ascii="Nyala" w:eastAsia="Tw Cen MT" w:hAnsi="Nyala" w:cs="Tw Cen MT"/>
          <w:noProof/>
        </w:rPr>
        <w:t xml:space="preserve">   </w:t>
      </w:r>
      <w:r w:rsidR="00C27AB1" w:rsidRPr="00824666">
        <w:rPr>
          <w:rFonts w:ascii="Nyala" w:eastAsia="Tw Cen MT" w:hAnsi="Nyala" w:cs="Tw Cen MT"/>
          <w:noProof/>
        </w:rPr>
        <w:drawing>
          <wp:inline distT="0" distB="0" distL="0" distR="0" wp14:anchorId="118D3B91" wp14:editId="7232E504">
            <wp:extent cx="429371" cy="357809"/>
            <wp:effectExtent l="0" t="0" r="8890" b="4445"/>
            <wp:docPr id="6" name="Picture 6" descr="C:\Users\Dr. Paul C. Chikezie\Documents\my cv\PASSPORT PA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Paul C. Chikezie\Documents\my cv\PASSPORT PAU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586" cy="360488"/>
                    </a:xfrm>
                    <a:prstGeom prst="rect">
                      <a:avLst/>
                    </a:prstGeom>
                    <a:noFill/>
                    <a:ln>
                      <a:noFill/>
                    </a:ln>
                  </pic:spPr>
                </pic:pic>
              </a:graphicData>
            </a:graphic>
          </wp:inline>
        </w:drawing>
      </w:r>
      <w:r w:rsidRPr="00824666">
        <w:rPr>
          <w:rFonts w:ascii="Nyala" w:eastAsia="Tw Cen MT" w:hAnsi="Nyala" w:cs="Tw Cen MT"/>
          <w:noProof/>
        </w:rPr>
        <w:t xml:space="preserve">           </w:t>
      </w:r>
      <w:r w:rsidRPr="00824666">
        <w:rPr>
          <w:rFonts w:ascii="Nyala" w:eastAsia="Tw Cen MT" w:hAnsi="Nyala" w:cs="Tw Cen MT"/>
        </w:rPr>
        <w:t>Biography (150 word limit)</w:t>
      </w:r>
    </w:p>
    <w:p w:rsidR="00F45645" w:rsidRPr="00824666" w:rsidRDefault="00F45645" w:rsidP="00D82465">
      <w:pPr>
        <w:spacing w:after="0" w:line="240" w:lineRule="auto"/>
        <w:jc w:val="both"/>
        <w:rPr>
          <w:rFonts w:ascii="Nyala" w:eastAsia="Calibri" w:hAnsi="Nyala" w:cs="Calibri"/>
          <w:sz w:val="20"/>
          <w:szCs w:val="20"/>
        </w:rPr>
      </w:pPr>
      <w:r w:rsidRPr="00824666">
        <w:rPr>
          <w:rFonts w:ascii="Nyala" w:eastAsia="Calibri" w:hAnsi="Nyala" w:cs="Calibri"/>
          <w:b/>
          <w:sz w:val="20"/>
          <w:szCs w:val="20"/>
        </w:rPr>
        <w:t>DR. PAUL C. CHIKEZIE</w:t>
      </w:r>
      <w:r w:rsidRPr="00824666">
        <w:rPr>
          <w:rFonts w:ascii="Nyala" w:eastAsia="Calibri" w:hAnsi="Nyala" w:cs="Calibri"/>
          <w:sz w:val="20"/>
          <w:szCs w:val="20"/>
        </w:rPr>
        <w:t xml:space="preserve"> is a </w:t>
      </w:r>
      <w:r w:rsidRPr="00824666">
        <w:rPr>
          <w:rFonts w:ascii="Nyala" w:eastAsia="Times New Roman" w:hAnsi="Nyala" w:cs="Calibri"/>
          <w:bCs/>
          <w:sz w:val="20"/>
          <w:szCs w:val="20"/>
        </w:rPr>
        <w:t xml:space="preserve">Research Scientist/Lecturer at the Department of Biochemistry, Imo State University, </w:t>
      </w:r>
      <w:proofErr w:type="gramStart"/>
      <w:r w:rsidRPr="00824666">
        <w:rPr>
          <w:rFonts w:ascii="Nyala" w:eastAsia="Times New Roman" w:hAnsi="Nyala" w:cs="Calibri"/>
          <w:bCs/>
          <w:sz w:val="20"/>
          <w:szCs w:val="20"/>
        </w:rPr>
        <w:t>Owerri</w:t>
      </w:r>
      <w:proofErr w:type="gramEnd"/>
      <w:r w:rsidRPr="00824666">
        <w:rPr>
          <w:rFonts w:ascii="Nyala" w:eastAsia="Times New Roman" w:hAnsi="Nyala" w:cs="Calibri"/>
          <w:bCs/>
          <w:sz w:val="20"/>
          <w:szCs w:val="20"/>
        </w:rPr>
        <w:t>, Nigeria.</w:t>
      </w:r>
      <w:r w:rsidRPr="00824666">
        <w:rPr>
          <w:rFonts w:ascii="Nyala" w:eastAsia="Calibri" w:hAnsi="Nyala" w:cs="Calibri"/>
          <w:sz w:val="20"/>
          <w:szCs w:val="20"/>
        </w:rPr>
        <w:t xml:space="preserve"> DR. PAUL C. CHIKEZIE holds a Bachelor of Science (B.Sc.) degree in Biochemistry, Masters of Science (M.Sc.) degree in Medical Biochemistry/Immunochemistry and Doctor of Philosophy (Ph.D.) degree in Medical Biochemistry, as well as Certificate in Advanced Digital Appreciation. DR. PAUL C. CHIKEZIE has </w:t>
      </w:r>
      <w:r w:rsidRPr="00824666">
        <w:rPr>
          <w:rFonts w:ascii="Nyala" w:eastAsia="Times New Roman" w:hAnsi="Nyala" w:cs="Times New Roman"/>
          <w:bCs/>
          <w:sz w:val="20"/>
          <w:szCs w:val="20"/>
        </w:rPr>
        <w:t xml:space="preserve">over seventeen (17) years of research and </w:t>
      </w:r>
      <w:r w:rsidRPr="00824666">
        <w:rPr>
          <w:rFonts w:ascii="Nyala" w:eastAsia="Calibri" w:hAnsi="Nyala" w:cs="Times New Roman"/>
          <w:sz w:val="20"/>
          <w:szCs w:val="20"/>
        </w:rPr>
        <w:t>cognitive experience in the academia with one hundred</w:t>
      </w:r>
      <w:r w:rsidR="00F27CA7" w:rsidRPr="00824666">
        <w:rPr>
          <w:rFonts w:ascii="Nyala" w:eastAsia="Calibri" w:hAnsi="Nyala" w:cs="Times New Roman"/>
          <w:sz w:val="20"/>
          <w:szCs w:val="20"/>
        </w:rPr>
        <w:t xml:space="preserve"> and two (102</w:t>
      </w:r>
      <w:r w:rsidRPr="00824666">
        <w:rPr>
          <w:rFonts w:ascii="Nyala" w:eastAsia="Calibri" w:hAnsi="Nyala" w:cs="Times New Roman"/>
          <w:sz w:val="20"/>
          <w:szCs w:val="20"/>
        </w:rPr>
        <w:t xml:space="preserve">) scholarly publications, which include scientific articles in reputable international and local learned journals, as well as edited books and book chapter contributions. </w:t>
      </w:r>
      <w:r w:rsidRPr="00824666">
        <w:rPr>
          <w:rFonts w:ascii="Nyala" w:eastAsia="Calibri" w:hAnsi="Nyala" w:cs="Calibri"/>
          <w:sz w:val="20"/>
          <w:szCs w:val="20"/>
        </w:rPr>
        <w:t xml:space="preserve">DR. PAUL C. CHIKEZIE’s research interests encompass clinical enzymology/toxicology, oxidative stress, phytomedicine, food chemistry/nutritional biochemistry, polyphenol oxidases and haemoglobinopathies with emphasis on sickle cell anaemias.    </w:t>
      </w:r>
    </w:p>
    <w:p w:rsidR="00F45645" w:rsidRPr="00824666" w:rsidRDefault="00F45645" w:rsidP="00D82465">
      <w:pPr>
        <w:widowControl w:val="0"/>
        <w:spacing w:after="0" w:line="240" w:lineRule="auto"/>
        <w:ind w:left="4217" w:right="4235"/>
        <w:jc w:val="both"/>
        <w:rPr>
          <w:rFonts w:ascii="Nyala" w:eastAsia="Tw Cen MT" w:hAnsi="Nyala" w:cs="Tw Cen MT"/>
          <w:sz w:val="20"/>
          <w:szCs w:val="20"/>
        </w:rPr>
      </w:pPr>
      <w:r w:rsidRPr="00824666">
        <w:rPr>
          <w:rFonts w:ascii="Nyala" w:eastAsia="Tw Cen MT" w:hAnsi="Nyala" w:cs="Tw Cen MT"/>
          <w:sz w:val="20"/>
          <w:szCs w:val="20"/>
        </w:rPr>
        <w:t xml:space="preserve">Email: </w:t>
      </w:r>
      <w:hyperlink r:id="rId13" w:history="1">
        <w:r w:rsidRPr="00824666">
          <w:rPr>
            <w:rFonts w:ascii="Nyala" w:eastAsia="Calibri" w:hAnsi="Nyala" w:cs="Times New Roman"/>
            <w:b/>
            <w:sz w:val="20"/>
            <w:szCs w:val="20"/>
          </w:rPr>
          <w:t>p_chikezie@yahoo.com</w:t>
        </w:r>
      </w:hyperlink>
      <w:r w:rsidRPr="00824666">
        <w:rPr>
          <w:rFonts w:ascii="Nyala" w:eastAsia="Calibri" w:hAnsi="Nyala" w:cs="Times New Roman"/>
          <w:b/>
          <w:sz w:val="20"/>
          <w:szCs w:val="20"/>
        </w:rPr>
        <w:t xml:space="preserve">  </w:t>
      </w:r>
      <w:r w:rsidRPr="00824666">
        <w:rPr>
          <w:rFonts w:ascii="Nyala" w:eastAsia="Tw Cen MT" w:hAnsi="Nyala" w:cs="Tw Cen MT"/>
          <w:noProof/>
          <w:sz w:val="20"/>
          <w:szCs w:val="20"/>
        </w:rPr>
        <mc:AlternateContent>
          <mc:Choice Requires="wps">
            <w:drawing>
              <wp:anchor distT="0" distB="0" distL="0" distR="0" simplePos="0" relativeHeight="251661312" behindDoc="0" locked="0" layoutInCell="1" allowOverlap="1" wp14:anchorId="55DA1ED7" wp14:editId="2BDE0C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12685" w:rsidRDefault="00523629" w:rsidP="00D82465">
      <w:pPr>
        <w:widowControl w:val="0"/>
        <w:spacing w:after="0" w:line="240" w:lineRule="auto"/>
        <w:ind w:right="4235"/>
        <w:jc w:val="both"/>
        <w:rPr>
          <w:rFonts w:ascii="Nyala" w:eastAsia="Tw Cen MT" w:hAnsi="Nyala" w:cs="Tw Cen MT"/>
          <w:b/>
          <w:sz w:val="20"/>
          <w:szCs w:val="20"/>
        </w:rPr>
      </w:pPr>
      <w:r w:rsidRPr="00824666">
        <w:rPr>
          <w:rFonts w:ascii="Nyala" w:eastAsia="Tw Cen MT" w:hAnsi="Nyala" w:cs="Tw Cen MT"/>
          <w:b/>
          <w:sz w:val="20"/>
          <w:szCs w:val="20"/>
        </w:rPr>
        <w:t>Notes/Comment</w:t>
      </w:r>
    </w:p>
    <w:p w:rsidR="00AC0A6C" w:rsidRDefault="00AC0A6C" w:rsidP="00D82465">
      <w:pPr>
        <w:widowControl w:val="0"/>
        <w:spacing w:after="0" w:line="240" w:lineRule="auto"/>
        <w:ind w:right="4235"/>
        <w:jc w:val="both"/>
        <w:rPr>
          <w:rFonts w:ascii="Nyala" w:eastAsia="Tw Cen MT" w:hAnsi="Nyala" w:cs="Tw Cen MT"/>
          <w:b/>
          <w:sz w:val="20"/>
          <w:szCs w:val="20"/>
        </w:rPr>
      </w:pPr>
    </w:p>
    <w:p w:rsidR="00AC0A6C" w:rsidRDefault="00AC0A6C" w:rsidP="00D82465">
      <w:pPr>
        <w:widowControl w:val="0"/>
        <w:spacing w:after="0" w:line="240" w:lineRule="auto"/>
        <w:ind w:right="4235"/>
        <w:jc w:val="both"/>
        <w:rPr>
          <w:rFonts w:ascii="Nyala" w:eastAsia="Tw Cen MT" w:hAnsi="Nyala" w:cs="Tw Cen MT"/>
          <w:b/>
          <w:sz w:val="20"/>
          <w:szCs w:val="20"/>
        </w:rPr>
      </w:pPr>
    </w:p>
    <w:p w:rsidR="00AC0A6C" w:rsidRPr="00824666" w:rsidRDefault="00AC0A6C" w:rsidP="00D82465">
      <w:pPr>
        <w:widowControl w:val="0"/>
        <w:spacing w:after="0" w:line="240" w:lineRule="auto"/>
        <w:ind w:right="4235"/>
        <w:jc w:val="both"/>
        <w:rPr>
          <w:rFonts w:ascii="Nyala" w:eastAsia="Tw Cen MT" w:hAnsi="Nyala" w:cs="Tw Cen MT"/>
          <w:b/>
          <w:sz w:val="20"/>
          <w:szCs w:val="20"/>
        </w:rPr>
        <w:sectPr w:rsidR="00AC0A6C" w:rsidRPr="00824666">
          <w:type w:val="continuous"/>
          <w:pgSz w:w="11910" w:h="16840"/>
          <w:pgMar w:top="1740" w:right="600" w:bottom="840" w:left="620" w:header="720" w:footer="720" w:gutter="0"/>
          <w:cols w:space="720"/>
        </w:sectPr>
      </w:pPr>
      <w:bookmarkStart w:id="0" w:name="_GoBack"/>
      <w:bookmarkEnd w:id="0"/>
    </w:p>
    <w:p w:rsidR="00F45645" w:rsidRPr="00824666" w:rsidRDefault="00F45645" w:rsidP="00824666">
      <w:pPr>
        <w:spacing w:before="100" w:beforeAutospacing="1" w:after="100" w:afterAutospacing="1" w:line="240" w:lineRule="auto"/>
        <w:rPr>
          <w:rFonts w:ascii="Nyala" w:hAnsi="Nyala"/>
        </w:rPr>
      </w:pPr>
    </w:p>
    <w:sectPr w:rsidR="00F45645" w:rsidRPr="008246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D65" w:rsidRDefault="009F1D65" w:rsidP="00523629">
      <w:pPr>
        <w:spacing w:after="0" w:line="240" w:lineRule="auto"/>
      </w:pPr>
      <w:r>
        <w:separator/>
      </w:r>
    </w:p>
  </w:endnote>
  <w:endnote w:type="continuationSeparator" w:id="0">
    <w:p w:rsidR="009F1D65" w:rsidRDefault="009F1D65" w:rsidP="00523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panose1 w:val="02000504070300020003"/>
    <w:charset w:val="00"/>
    <w:family w:val="auto"/>
    <w:pitch w:val="variable"/>
    <w:sig w:usb0="A000006F" w:usb1="00000000" w:usb2="00000800" w:usb3="00000000" w:csb0="00000093"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UnicodeMS-WinCharSetFFFF-H">
    <w:altName w:val="MS Mincho"/>
    <w:panose1 w:val="00000000000000000000"/>
    <w:charset w:val="80"/>
    <w:family w:val="auto"/>
    <w:notTrueType/>
    <w:pitch w:val="default"/>
    <w:sig w:usb0="00000083" w:usb1="08070000" w:usb2="00000010" w:usb3="00000000" w:csb0="00020009" w:csb1="00000000"/>
  </w:font>
  <w:font w:name="Verdana">
    <w:panose1 w:val="020B0604030504040204"/>
    <w:charset w:val="00"/>
    <w:family w:val="swiss"/>
    <w:pitch w:val="variable"/>
    <w:sig w:usb0="A10006FF" w:usb1="4000205B" w:usb2="00000010" w:usb3="00000000" w:csb0="0000019F" w:csb1="00000000"/>
  </w:font>
  <w:font w:name="Tunga">
    <w:panose1 w:val="020B0502040204020203"/>
    <w:charset w:val="00"/>
    <w:family w:val="swiss"/>
    <w:pitch w:val="variable"/>
    <w:sig w:usb0="004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64E7">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36C732F" wp14:editId="028BAA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64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64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164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64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326C37E" wp14:editId="41267F2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64E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64E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164E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64E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CE81B55" wp14:editId="6F6D7F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64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7164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164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7164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D65" w:rsidRDefault="009F1D65" w:rsidP="00523629">
      <w:pPr>
        <w:spacing w:after="0" w:line="240" w:lineRule="auto"/>
      </w:pPr>
      <w:r>
        <w:separator/>
      </w:r>
    </w:p>
  </w:footnote>
  <w:footnote w:type="continuationSeparator" w:id="0">
    <w:p w:rsidR="009F1D65" w:rsidRDefault="009F1D65" w:rsidP="00523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64E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4E74D35A" wp14:editId="72DCF03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F1D65" w:rsidP="00523629">
                          <w:pPr>
                            <w:spacing w:before="2" w:line="249" w:lineRule="auto"/>
                            <w:ind w:right="18"/>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F53E3D" w:rsidP="00523629">
                    <w:pPr>
                      <w:spacing w:before="2" w:line="249" w:lineRule="auto"/>
                      <w:ind w:right="18"/>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0F79977" wp14:editId="55C721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64E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64E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164E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64E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C058646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BBF"/>
    <w:rsid w:val="000666BB"/>
    <w:rsid w:val="000B49F6"/>
    <w:rsid w:val="000C5771"/>
    <w:rsid w:val="000C7172"/>
    <w:rsid w:val="000D407D"/>
    <w:rsid w:val="000D792B"/>
    <w:rsid w:val="001764B4"/>
    <w:rsid w:val="00177EB8"/>
    <w:rsid w:val="0020540D"/>
    <w:rsid w:val="00255A52"/>
    <w:rsid w:val="002621BC"/>
    <w:rsid w:val="0029604A"/>
    <w:rsid w:val="00311F34"/>
    <w:rsid w:val="0032258E"/>
    <w:rsid w:val="0035562A"/>
    <w:rsid w:val="003D7279"/>
    <w:rsid w:val="003E1BBF"/>
    <w:rsid w:val="00413B29"/>
    <w:rsid w:val="0047711B"/>
    <w:rsid w:val="00480347"/>
    <w:rsid w:val="004B6267"/>
    <w:rsid w:val="004D7AE5"/>
    <w:rsid w:val="00500165"/>
    <w:rsid w:val="005157DC"/>
    <w:rsid w:val="005169AF"/>
    <w:rsid w:val="00522289"/>
    <w:rsid w:val="00523629"/>
    <w:rsid w:val="005341F1"/>
    <w:rsid w:val="005A18BC"/>
    <w:rsid w:val="00636F09"/>
    <w:rsid w:val="007164E7"/>
    <w:rsid w:val="00755AFF"/>
    <w:rsid w:val="007D202A"/>
    <w:rsid w:val="00824666"/>
    <w:rsid w:val="008C7937"/>
    <w:rsid w:val="00913131"/>
    <w:rsid w:val="00983973"/>
    <w:rsid w:val="009F1D65"/>
    <w:rsid w:val="00A972F4"/>
    <w:rsid w:val="00AB61E2"/>
    <w:rsid w:val="00AC0A6C"/>
    <w:rsid w:val="00AD484A"/>
    <w:rsid w:val="00B05A67"/>
    <w:rsid w:val="00B4258B"/>
    <w:rsid w:val="00B83C39"/>
    <w:rsid w:val="00B83F8F"/>
    <w:rsid w:val="00BA1BC8"/>
    <w:rsid w:val="00BC2E73"/>
    <w:rsid w:val="00BC78DB"/>
    <w:rsid w:val="00BF3148"/>
    <w:rsid w:val="00C27AB1"/>
    <w:rsid w:val="00CA2000"/>
    <w:rsid w:val="00CC30AE"/>
    <w:rsid w:val="00CD2452"/>
    <w:rsid w:val="00D82465"/>
    <w:rsid w:val="00DA7E4C"/>
    <w:rsid w:val="00DE6F8B"/>
    <w:rsid w:val="00E12685"/>
    <w:rsid w:val="00E35FB7"/>
    <w:rsid w:val="00E71B56"/>
    <w:rsid w:val="00E71F90"/>
    <w:rsid w:val="00E7312A"/>
    <w:rsid w:val="00E84526"/>
    <w:rsid w:val="00EC4FD4"/>
    <w:rsid w:val="00F27CA7"/>
    <w:rsid w:val="00F31EC5"/>
    <w:rsid w:val="00F35BE2"/>
    <w:rsid w:val="00F45645"/>
    <w:rsid w:val="00F53E3D"/>
    <w:rsid w:val="00F74FF1"/>
    <w:rsid w:val="00F93DFF"/>
    <w:rsid w:val="00FA594E"/>
    <w:rsid w:val="00FC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3E1BBF"/>
    <w:rPr>
      <w:color w:val="000000"/>
      <w:sz w:val="16"/>
      <w:szCs w:val="16"/>
    </w:rPr>
  </w:style>
  <w:style w:type="paragraph" w:styleId="BalloonText">
    <w:name w:val="Balloon Text"/>
    <w:basedOn w:val="Normal"/>
    <w:link w:val="BalloonTextChar"/>
    <w:uiPriority w:val="99"/>
    <w:semiHidden/>
    <w:unhideWhenUsed/>
    <w:rsid w:val="00177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EB8"/>
    <w:rPr>
      <w:rFonts w:ascii="Tahoma" w:hAnsi="Tahoma" w:cs="Tahoma"/>
      <w:sz w:val="16"/>
      <w:szCs w:val="16"/>
    </w:rPr>
  </w:style>
  <w:style w:type="paragraph" w:styleId="BodyText">
    <w:name w:val="Body Text"/>
    <w:basedOn w:val="Normal"/>
    <w:link w:val="BodyTextChar"/>
    <w:uiPriority w:val="99"/>
    <w:semiHidden/>
    <w:unhideWhenUsed/>
    <w:rsid w:val="00F45645"/>
    <w:pPr>
      <w:spacing w:after="120"/>
    </w:pPr>
  </w:style>
  <w:style w:type="character" w:customStyle="1" w:styleId="BodyTextChar">
    <w:name w:val="Body Text Char"/>
    <w:basedOn w:val="DefaultParagraphFont"/>
    <w:link w:val="BodyText"/>
    <w:uiPriority w:val="99"/>
    <w:semiHidden/>
    <w:rsid w:val="00F45645"/>
  </w:style>
  <w:style w:type="character" w:customStyle="1" w:styleId="A1">
    <w:name w:val="A1"/>
    <w:uiPriority w:val="99"/>
    <w:rsid w:val="00F45645"/>
    <w:rPr>
      <w:color w:val="000000"/>
      <w:sz w:val="14"/>
      <w:szCs w:val="14"/>
    </w:rPr>
  </w:style>
  <w:style w:type="paragraph" w:styleId="Header">
    <w:name w:val="header"/>
    <w:basedOn w:val="Normal"/>
    <w:link w:val="HeaderChar"/>
    <w:uiPriority w:val="99"/>
    <w:unhideWhenUsed/>
    <w:rsid w:val="00523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629"/>
  </w:style>
  <w:style w:type="paragraph" w:styleId="Footer">
    <w:name w:val="footer"/>
    <w:basedOn w:val="Normal"/>
    <w:link w:val="FooterChar"/>
    <w:uiPriority w:val="99"/>
    <w:unhideWhenUsed/>
    <w:rsid w:val="00523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3E1BBF"/>
    <w:rPr>
      <w:color w:val="000000"/>
      <w:sz w:val="16"/>
      <w:szCs w:val="16"/>
    </w:rPr>
  </w:style>
  <w:style w:type="paragraph" w:styleId="BalloonText">
    <w:name w:val="Balloon Text"/>
    <w:basedOn w:val="Normal"/>
    <w:link w:val="BalloonTextChar"/>
    <w:uiPriority w:val="99"/>
    <w:semiHidden/>
    <w:unhideWhenUsed/>
    <w:rsid w:val="00177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EB8"/>
    <w:rPr>
      <w:rFonts w:ascii="Tahoma" w:hAnsi="Tahoma" w:cs="Tahoma"/>
      <w:sz w:val="16"/>
      <w:szCs w:val="16"/>
    </w:rPr>
  </w:style>
  <w:style w:type="paragraph" w:styleId="BodyText">
    <w:name w:val="Body Text"/>
    <w:basedOn w:val="Normal"/>
    <w:link w:val="BodyTextChar"/>
    <w:uiPriority w:val="99"/>
    <w:semiHidden/>
    <w:unhideWhenUsed/>
    <w:rsid w:val="00F45645"/>
    <w:pPr>
      <w:spacing w:after="120"/>
    </w:pPr>
  </w:style>
  <w:style w:type="character" w:customStyle="1" w:styleId="BodyTextChar">
    <w:name w:val="Body Text Char"/>
    <w:basedOn w:val="DefaultParagraphFont"/>
    <w:link w:val="BodyText"/>
    <w:uiPriority w:val="99"/>
    <w:semiHidden/>
    <w:rsid w:val="00F45645"/>
  </w:style>
  <w:style w:type="character" w:customStyle="1" w:styleId="A1">
    <w:name w:val="A1"/>
    <w:uiPriority w:val="99"/>
    <w:rsid w:val="00F45645"/>
    <w:rPr>
      <w:color w:val="000000"/>
      <w:sz w:val="14"/>
      <w:szCs w:val="14"/>
    </w:rPr>
  </w:style>
  <w:style w:type="paragraph" w:styleId="Header">
    <w:name w:val="header"/>
    <w:basedOn w:val="Normal"/>
    <w:link w:val="HeaderChar"/>
    <w:uiPriority w:val="99"/>
    <w:unhideWhenUsed/>
    <w:rsid w:val="00523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629"/>
  </w:style>
  <w:style w:type="paragraph" w:styleId="Footer">
    <w:name w:val="footer"/>
    <w:basedOn w:val="Normal"/>
    <w:link w:val="FooterChar"/>
    <w:uiPriority w:val="99"/>
    <w:unhideWhenUsed/>
    <w:rsid w:val="00523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83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_chikezie@yahoo.com" TargetMode="External"/><Relationship Id="rId13" Type="http://schemas.openxmlformats.org/officeDocument/2006/relationships/hyperlink" Target="mailto:p_chikezie@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FBGC</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Sheet1!$B$2:$B$18</c:f>
              <c:numCache>
                <c:formatCode>General</c:formatCode>
                <c:ptCount val="17"/>
                <c:pt idx="0">
                  <c:v>86.3</c:v>
                </c:pt>
                <c:pt idx="1">
                  <c:v>368.2</c:v>
                </c:pt>
                <c:pt idx="2">
                  <c:v>113</c:v>
                </c:pt>
                <c:pt idx="3">
                  <c:v>105.7</c:v>
                </c:pt>
                <c:pt idx="4">
                  <c:v>118</c:v>
                </c:pt>
                <c:pt idx="5">
                  <c:v>112.5</c:v>
                </c:pt>
                <c:pt idx="6">
                  <c:v>66.3</c:v>
                </c:pt>
                <c:pt idx="7">
                  <c:v>81</c:v>
                </c:pt>
                <c:pt idx="8">
                  <c:v>112</c:v>
                </c:pt>
                <c:pt idx="9">
                  <c:v>97.2</c:v>
                </c:pt>
                <c:pt idx="10">
                  <c:v>105</c:v>
                </c:pt>
                <c:pt idx="11">
                  <c:v>103.3</c:v>
                </c:pt>
                <c:pt idx="12">
                  <c:v>103</c:v>
                </c:pt>
                <c:pt idx="13">
                  <c:v>84.7</c:v>
                </c:pt>
                <c:pt idx="14">
                  <c:v>124.3</c:v>
                </c:pt>
                <c:pt idx="15">
                  <c:v>112.5</c:v>
                </c:pt>
                <c:pt idx="16">
                  <c:v>97.3</c:v>
                </c:pt>
              </c:numCache>
            </c:numRef>
          </c:val>
        </c:ser>
        <c:ser>
          <c:idx val="1"/>
          <c:order val="1"/>
          <c:tx>
            <c:strRef>
              <c:f>Sheet1!$C$1</c:f>
              <c:strCache>
                <c:ptCount val="1"/>
                <c:pt idx="0">
                  <c:v>TC</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Sheet1!$C$2:$C$18</c:f>
              <c:numCache>
                <c:formatCode>General</c:formatCode>
                <c:ptCount val="17"/>
                <c:pt idx="0">
                  <c:v>57</c:v>
                </c:pt>
                <c:pt idx="1">
                  <c:v>61.7</c:v>
                </c:pt>
                <c:pt idx="2">
                  <c:v>44.17</c:v>
                </c:pt>
                <c:pt idx="3">
                  <c:v>45</c:v>
                </c:pt>
                <c:pt idx="4">
                  <c:v>61.2</c:v>
                </c:pt>
                <c:pt idx="5">
                  <c:v>58</c:v>
                </c:pt>
                <c:pt idx="6">
                  <c:v>49.2</c:v>
                </c:pt>
                <c:pt idx="7">
                  <c:v>43</c:v>
                </c:pt>
                <c:pt idx="8">
                  <c:v>34.700000000000003</c:v>
                </c:pt>
                <c:pt idx="9">
                  <c:v>45.3</c:v>
                </c:pt>
                <c:pt idx="10">
                  <c:v>44.8</c:v>
                </c:pt>
                <c:pt idx="11">
                  <c:v>55.8</c:v>
                </c:pt>
                <c:pt idx="12">
                  <c:v>43.5</c:v>
                </c:pt>
                <c:pt idx="13">
                  <c:v>48.7</c:v>
                </c:pt>
                <c:pt idx="14">
                  <c:v>63.7</c:v>
                </c:pt>
                <c:pt idx="15">
                  <c:v>62.3</c:v>
                </c:pt>
                <c:pt idx="16">
                  <c:v>67</c:v>
                </c:pt>
              </c:numCache>
            </c:numRef>
          </c:val>
        </c:ser>
        <c:ser>
          <c:idx val="2"/>
          <c:order val="2"/>
          <c:tx>
            <c:strRef>
              <c:f>Sheet1!$D$1</c:f>
              <c:strCache>
                <c:ptCount val="1"/>
                <c:pt idx="0">
                  <c:v>VLDL-C</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Sheet1!$D$2:$D$18</c:f>
              <c:numCache>
                <c:formatCode>General</c:formatCode>
                <c:ptCount val="17"/>
                <c:pt idx="0">
                  <c:v>12.9</c:v>
                </c:pt>
                <c:pt idx="1">
                  <c:v>14.5</c:v>
                </c:pt>
                <c:pt idx="2">
                  <c:v>8.3000000000000007</c:v>
                </c:pt>
                <c:pt idx="3">
                  <c:v>13</c:v>
                </c:pt>
                <c:pt idx="4">
                  <c:v>14</c:v>
                </c:pt>
                <c:pt idx="5">
                  <c:v>12.1</c:v>
                </c:pt>
                <c:pt idx="6">
                  <c:v>13.3</c:v>
                </c:pt>
                <c:pt idx="7">
                  <c:v>14.1</c:v>
                </c:pt>
                <c:pt idx="8">
                  <c:v>10.5</c:v>
                </c:pt>
                <c:pt idx="9">
                  <c:v>11</c:v>
                </c:pt>
                <c:pt idx="10">
                  <c:v>17</c:v>
                </c:pt>
                <c:pt idx="11">
                  <c:v>13.4</c:v>
                </c:pt>
                <c:pt idx="12">
                  <c:v>10.8</c:v>
                </c:pt>
                <c:pt idx="13">
                  <c:v>12.2</c:v>
                </c:pt>
                <c:pt idx="14">
                  <c:v>12.04</c:v>
                </c:pt>
                <c:pt idx="15">
                  <c:v>14.5</c:v>
                </c:pt>
                <c:pt idx="16">
                  <c:v>14.2</c:v>
                </c:pt>
              </c:numCache>
            </c:numRef>
          </c:val>
        </c:ser>
        <c:ser>
          <c:idx val="3"/>
          <c:order val="3"/>
          <c:tx>
            <c:strRef>
              <c:f>Sheet1!$E$1</c:f>
              <c:strCache>
                <c:ptCount val="1"/>
                <c:pt idx="0">
                  <c:v>LDL-C</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Sheet1!$E$2:$E$18</c:f>
              <c:numCache>
                <c:formatCode>General</c:formatCode>
                <c:ptCount val="17"/>
                <c:pt idx="0">
                  <c:v>11.5</c:v>
                </c:pt>
                <c:pt idx="1">
                  <c:v>27.9</c:v>
                </c:pt>
                <c:pt idx="2">
                  <c:v>9.6999999999999993</c:v>
                </c:pt>
                <c:pt idx="3">
                  <c:v>14.8</c:v>
                </c:pt>
                <c:pt idx="4">
                  <c:v>17.600000000000001</c:v>
                </c:pt>
                <c:pt idx="5">
                  <c:v>16.2</c:v>
                </c:pt>
                <c:pt idx="6">
                  <c:v>14.4</c:v>
                </c:pt>
                <c:pt idx="7">
                  <c:v>12.2</c:v>
                </c:pt>
                <c:pt idx="8">
                  <c:v>17.3</c:v>
                </c:pt>
                <c:pt idx="9">
                  <c:v>19.2</c:v>
                </c:pt>
                <c:pt idx="10">
                  <c:v>19.600000000000001</c:v>
                </c:pt>
                <c:pt idx="11">
                  <c:v>17.100000000000001</c:v>
                </c:pt>
                <c:pt idx="12">
                  <c:v>11.1</c:v>
                </c:pt>
                <c:pt idx="13">
                  <c:v>16.2</c:v>
                </c:pt>
                <c:pt idx="14">
                  <c:v>26.9</c:v>
                </c:pt>
                <c:pt idx="15">
                  <c:v>24.4</c:v>
                </c:pt>
                <c:pt idx="16">
                  <c:v>18.8</c:v>
                </c:pt>
              </c:numCache>
            </c:numRef>
          </c:val>
        </c:ser>
        <c:ser>
          <c:idx val="4"/>
          <c:order val="4"/>
          <c:tx>
            <c:strRef>
              <c:f>Sheet1!$F$1</c:f>
              <c:strCache>
                <c:ptCount val="1"/>
                <c:pt idx="0">
                  <c:v>HDL-C</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Sheet1!$F$2:$F$18</c:f>
              <c:numCache>
                <c:formatCode>General</c:formatCode>
                <c:ptCount val="17"/>
                <c:pt idx="0">
                  <c:v>29.5</c:v>
                </c:pt>
                <c:pt idx="1">
                  <c:v>12.1</c:v>
                </c:pt>
                <c:pt idx="2">
                  <c:v>29.98</c:v>
                </c:pt>
                <c:pt idx="3">
                  <c:v>30.2</c:v>
                </c:pt>
                <c:pt idx="4">
                  <c:v>30.2</c:v>
                </c:pt>
                <c:pt idx="5">
                  <c:v>29.8</c:v>
                </c:pt>
                <c:pt idx="6">
                  <c:v>31.5</c:v>
                </c:pt>
                <c:pt idx="7">
                  <c:v>26.8</c:v>
                </c:pt>
                <c:pt idx="8">
                  <c:v>27.5</c:v>
                </c:pt>
                <c:pt idx="9">
                  <c:v>24.3</c:v>
                </c:pt>
                <c:pt idx="10">
                  <c:v>28</c:v>
                </c:pt>
                <c:pt idx="11">
                  <c:v>23.7</c:v>
                </c:pt>
                <c:pt idx="12">
                  <c:v>21.5</c:v>
                </c:pt>
                <c:pt idx="13">
                  <c:v>20.3</c:v>
                </c:pt>
                <c:pt idx="14">
                  <c:v>24.8</c:v>
                </c:pt>
                <c:pt idx="15">
                  <c:v>23.4</c:v>
                </c:pt>
                <c:pt idx="16">
                  <c:v>44.3</c:v>
                </c:pt>
              </c:numCache>
            </c:numRef>
          </c:val>
        </c:ser>
        <c:ser>
          <c:idx val="5"/>
          <c:order val="5"/>
          <c:tx>
            <c:strRef>
              <c:f>Sheet1!$G$1</c:f>
              <c:strCache>
                <c:ptCount val="1"/>
                <c:pt idx="0">
                  <c:v>TAG</c:v>
                </c:pt>
              </c:strCache>
            </c:strRef>
          </c:tx>
          <c:invertIfNegative val="0"/>
          <c:errBars>
            <c:errBarType val="both"/>
            <c:errValType val="stdErr"/>
            <c:noEndCap val="0"/>
          </c:errBars>
          <c:cat>
            <c:strRef>
              <c:f>Sheet1!$A$2:$A$18</c:f>
              <c:strCache>
                <c:ptCount val="17"/>
                <c:pt idx="0">
                  <c:v>NORM</c:v>
                </c:pt>
                <c:pt idx="1">
                  <c:v>DIAB</c:v>
                </c:pt>
                <c:pt idx="2">
                  <c:v>SHf-ACMO</c:v>
                </c:pt>
                <c:pt idx="3">
                  <c:v>SHf-ASGA</c:v>
                </c:pt>
                <c:pt idx="4">
                  <c:v>SHf-EMCO</c:v>
                </c:pt>
                <c:pt idx="5">
                  <c:v>SHf-HIRO</c:v>
                </c:pt>
                <c:pt idx="6">
                  <c:v>DHf-AGAM</c:v>
                </c:pt>
                <c:pt idx="7">
                  <c:v>DHf-AGEC</c:v>
                </c:pt>
                <c:pt idx="8">
                  <c:v>DHf-AGHR</c:v>
                </c:pt>
                <c:pt idx="9">
                  <c:v>DHf-AMEC</c:v>
                </c:pt>
                <c:pt idx="10">
                  <c:v>DHf-AMHR</c:v>
                </c:pt>
                <c:pt idx="11">
                  <c:v>DHf-ECHR</c:v>
                </c:pt>
                <c:pt idx="12">
                  <c:v>THf-AGEH</c:v>
                </c:pt>
                <c:pt idx="13">
                  <c:v>THf-AMAE</c:v>
                </c:pt>
                <c:pt idx="14">
                  <c:v>THf-AMAH</c:v>
                </c:pt>
                <c:pt idx="15">
                  <c:v>THf-AMEH</c:v>
                </c:pt>
                <c:pt idx="16">
                  <c:v>QHf-AAEH</c:v>
                </c:pt>
              </c:strCache>
            </c:strRef>
          </c:cat>
          <c:val>
            <c:numRef>
              <c:f>Sheet1!$G$2:$G$18</c:f>
              <c:numCache>
                <c:formatCode>General</c:formatCode>
                <c:ptCount val="17"/>
                <c:pt idx="0">
                  <c:v>64.3</c:v>
                </c:pt>
                <c:pt idx="1">
                  <c:v>72.5</c:v>
                </c:pt>
                <c:pt idx="2">
                  <c:v>65.8</c:v>
                </c:pt>
                <c:pt idx="3">
                  <c:v>64.2</c:v>
                </c:pt>
                <c:pt idx="4">
                  <c:v>70.2</c:v>
                </c:pt>
                <c:pt idx="5">
                  <c:v>60.8</c:v>
                </c:pt>
                <c:pt idx="6">
                  <c:v>66.5</c:v>
                </c:pt>
                <c:pt idx="7">
                  <c:v>70.7</c:v>
                </c:pt>
                <c:pt idx="8">
                  <c:v>62.3</c:v>
                </c:pt>
                <c:pt idx="9">
                  <c:v>55.8</c:v>
                </c:pt>
                <c:pt idx="10">
                  <c:v>35</c:v>
                </c:pt>
                <c:pt idx="11">
                  <c:v>64.7</c:v>
                </c:pt>
                <c:pt idx="12">
                  <c:v>54.3</c:v>
                </c:pt>
                <c:pt idx="13">
                  <c:v>60.8</c:v>
                </c:pt>
                <c:pt idx="14">
                  <c:v>60.2</c:v>
                </c:pt>
                <c:pt idx="15">
                  <c:v>72.3</c:v>
                </c:pt>
                <c:pt idx="16">
                  <c:v>71</c:v>
                </c:pt>
              </c:numCache>
            </c:numRef>
          </c:val>
        </c:ser>
        <c:dLbls>
          <c:showLegendKey val="0"/>
          <c:showVal val="0"/>
          <c:showCatName val="0"/>
          <c:showSerName val="0"/>
          <c:showPercent val="0"/>
          <c:showBubbleSize val="0"/>
        </c:dLbls>
        <c:gapWidth val="150"/>
        <c:axId val="56621696"/>
        <c:axId val="56627968"/>
      </c:barChart>
      <c:catAx>
        <c:axId val="56621696"/>
        <c:scaling>
          <c:orientation val="minMax"/>
        </c:scaling>
        <c:delete val="0"/>
        <c:axPos val="b"/>
        <c:title>
          <c:tx>
            <c:rich>
              <a:bodyPr/>
              <a:lstStyle/>
              <a:p>
                <a:pPr>
                  <a:defRPr/>
                </a:pPr>
                <a:r>
                  <a:rPr lang="en-US"/>
                  <a:t>Experimental</a:t>
                </a:r>
                <a:r>
                  <a:rPr lang="en-US" baseline="0"/>
                  <a:t> groups</a:t>
                </a:r>
                <a:endParaRPr lang="en-US"/>
              </a:p>
            </c:rich>
          </c:tx>
          <c:overlay val="0"/>
        </c:title>
        <c:majorTickMark val="out"/>
        <c:minorTickMark val="none"/>
        <c:tickLblPos val="nextTo"/>
        <c:crossAx val="56627968"/>
        <c:crosses val="autoZero"/>
        <c:auto val="1"/>
        <c:lblAlgn val="ctr"/>
        <c:lblOffset val="100"/>
        <c:noMultiLvlLbl val="0"/>
      </c:catAx>
      <c:valAx>
        <c:axId val="56627968"/>
        <c:scaling>
          <c:orientation val="minMax"/>
        </c:scaling>
        <c:delete val="0"/>
        <c:axPos val="l"/>
        <c:majorGridlines/>
        <c:title>
          <c:tx>
            <c:rich>
              <a:bodyPr rot="-5400000" vert="horz"/>
              <a:lstStyle/>
              <a:p>
                <a:pPr>
                  <a:defRPr/>
                </a:pPr>
                <a:r>
                  <a:rPr lang="en-US"/>
                  <a:t>Plasma</a:t>
                </a:r>
                <a:r>
                  <a:rPr lang="en-US" baseline="0"/>
                  <a:t> c</a:t>
                </a:r>
                <a:r>
                  <a:rPr lang="en-US"/>
                  <a:t>oncentration (mg/dL)</a:t>
                </a:r>
              </a:p>
            </c:rich>
          </c:tx>
          <c:layout>
            <c:manualLayout>
              <c:xMode val="edge"/>
              <c:yMode val="edge"/>
              <c:x val="1.7984296213424858E-2"/>
              <c:y val="0.17461473954759807"/>
            </c:manualLayout>
          </c:layout>
          <c:overlay val="0"/>
        </c:title>
        <c:numFmt formatCode="General" sourceLinked="1"/>
        <c:majorTickMark val="out"/>
        <c:minorTickMark val="none"/>
        <c:tickLblPos val="nextTo"/>
        <c:crossAx val="56621696"/>
        <c:crosses val="autoZero"/>
        <c:crossBetween val="between"/>
      </c:valAx>
    </c:plotArea>
    <c:legend>
      <c:legendPos val="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77</TotalTime>
  <Pages>1</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Paul C. Chikezie</dc:creator>
  <cp:lastModifiedBy>Dr. Paul C. Chikezie</cp:lastModifiedBy>
  <cp:revision>66</cp:revision>
  <cp:lastPrinted>2018-05-11T23:25:00Z</cp:lastPrinted>
  <dcterms:created xsi:type="dcterms:W3CDTF">2017-04-28T15:54:00Z</dcterms:created>
  <dcterms:modified xsi:type="dcterms:W3CDTF">2018-05-11T23:25:00Z</dcterms:modified>
</cp:coreProperties>
</file>