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bookmarkStart w:id="0" w:name="_GoBack"/>
      <w:bookmarkEnd w:id="0"/>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05164C" w:rsidRPr="009D49B8" w:rsidRDefault="003C0794" w:rsidP="003C0794">
      <w:pPr>
        <w:jc w:val="both"/>
        <w:rPr>
          <w:rFonts w:eastAsia="MS PGothic"/>
          <w:color w:val="000000"/>
          <w:sz w:val="22"/>
          <w:szCs w:val="22"/>
        </w:rPr>
      </w:pPr>
      <w:r w:rsidRPr="009D49B8">
        <w:rPr>
          <w:rFonts w:eastAsia="MS PGothic"/>
          <w:b/>
          <w:color w:val="000000"/>
          <w:sz w:val="22"/>
          <w:szCs w:val="22"/>
        </w:rPr>
        <w:t xml:space="preserve">Title: </w:t>
      </w:r>
      <w:r w:rsidR="00FD3692" w:rsidRPr="00FD3692">
        <w:rPr>
          <w:rFonts w:eastAsia="MS PGothic"/>
          <w:b/>
          <w:color w:val="000000"/>
          <w:sz w:val="22"/>
          <w:szCs w:val="22"/>
        </w:rPr>
        <w:t>The structural mechanism of transport by the mitochondrial ADP/ATP carrier</w:t>
      </w:r>
    </w:p>
    <w:p w:rsidR="00FD3692" w:rsidRDefault="00FD3692" w:rsidP="003C0794">
      <w:pPr>
        <w:shd w:val="clear" w:color="auto" w:fill="FFFFFF"/>
        <w:spacing w:after="150"/>
        <w:jc w:val="both"/>
        <w:rPr>
          <w:b/>
          <w:bCs/>
          <w:sz w:val="19"/>
          <w:szCs w:val="19"/>
          <w:lang w:val="en-IN" w:eastAsia="en-IN"/>
        </w:rPr>
      </w:pPr>
    </w:p>
    <w:p w:rsidR="00FD3692" w:rsidRPr="00FD3692" w:rsidRDefault="00FD3692" w:rsidP="00FD3692">
      <w:pPr>
        <w:spacing w:line="360" w:lineRule="auto"/>
        <w:jc w:val="left"/>
        <w:rPr>
          <w:b/>
          <w:sz w:val="19"/>
          <w:szCs w:val="19"/>
          <w:u w:val="single"/>
          <w:vertAlign w:val="superscript"/>
        </w:rPr>
      </w:pPr>
      <w:r w:rsidRPr="00FD3692">
        <w:rPr>
          <w:b/>
          <w:sz w:val="19"/>
          <w:szCs w:val="19"/>
        </w:rPr>
        <w:t>Ruprecht JJ</w:t>
      </w:r>
      <w:r w:rsidRPr="00FD3692">
        <w:rPr>
          <w:b/>
          <w:sz w:val="19"/>
          <w:szCs w:val="19"/>
          <w:vertAlign w:val="superscript"/>
        </w:rPr>
        <w:t>1</w:t>
      </w:r>
      <w:r w:rsidRPr="00FD3692">
        <w:rPr>
          <w:b/>
          <w:sz w:val="19"/>
          <w:szCs w:val="19"/>
        </w:rPr>
        <w:t>, King MS</w:t>
      </w:r>
      <w:r w:rsidRPr="00FD3692">
        <w:rPr>
          <w:b/>
          <w:sz w:val="19"/>
          <w:szCs w:val="19"/>
          <w:vertAlign w:val="superscript"/>
        </w:rPr>
        <w:t>1</w:t>
      </w:r>
      <w:r w:rsidRPr="00FD3692">
        <w:rPr>
          <w:b/>
          <w:sz w:val="19"/>
          <w:szCs w:val="19"/>
        </w:rPr>
        <w:t>, Zögg T</w:t>
      </w:r>
      <w:r w:rsidRPr="00FD3692">
        <w:rPr>
          <w:b/>
          <w:sz w:val="19"/>
          <w:szCs w:val="19"/>
          <w:vertAlign w:val="superscript"/>
        </w:rPr>
        <w:t>2,3</w:t>
      </w:r>
      <w:r w:rsidRPr="00FD3692">
        <w:rPr>
          <w:b/>
          <w:sz w:val="19"/>
          <w:szCs w:val="19"/>
        </w:rPr>
        <w:t>, Aleksandrova AA</w:t>
      </w:r>
      <w:r w:rsidRPr="00FD3692">
        <w:rPr>
          <w:b/>
          <w:sz w:val="19"/>
          <w:szCs w:val="19"/>
          <w:vertAlign w:val="superscript"/>
        </w:rPr>
        <w:t>4</w:t>
      </w:r>
      <w:r w:rsidRPr="00FD3692">
        <w:rPr>
          <w:b/>
          <w:sz w:val="19"/>
          <w:szCs w:val="19"/>
        </w:rPr>
        <w:t xml:space="preserve"> Pardon E</w:t>
      </w:r>
      <w:r w:rsidRPr="00FD3692">
        <w:rPr>
          <w:b/>
          <w:sz w:val="19"/>
          <w:szCs w:val="19"/>
          <w:vertAlign w:val="superscript"/>
        </w:rPr>
        <w:t>2,3</w:t>
      </w:r>
      <w:r w:rsidRPr="00FD3692">
        <w:rPr>
          <w:b/>
          <w:sz w:val="19"/>
          <w:szCs w:val="19"/>
        </w:rPr>
        <w:t>,</w:t>
      </w:r>
      <w:r w:rsidRPr="00FD3692">
        <w:rPr>
          <w:b/>
          <w:sz w:val="19"/>
          <w:szCs w:val="19"/>
          <w:vertAlign w:val="superscript"/>
        </w:rPr>
        <w:t xml:space="preserve"> </w:t>
      </w:r>
      <w:r w:rsidRPr="00FD3692">
        <w:rPr>
          <w:b/>
          <w:sz w:val="19"/>
          <w:szCs w:val="19"/>
        </w:rPr>
        <w:t>Crichton PG</w:t>
      </w:r>
      <w:r w:rsidRPr="00FD3692">
        <w:rPr>
          <w:b/>
          <w:sz w:val="19"/>
          <w:szCs w:val="19"/>
          <w:vertAlign w:val="superscript"/>
        </w:rPr>
        <w:t>1</w:t>
      </w:r>
      <w:r w:rsidRPr="00FD3692">
        <w:rPr>
          <w:b/>
          <w:sz w:val="19"/>
          <w:szCs w:val="19"/>
        </w:rPr>
        <w:t>, Steyaert J</w:t>
      </w:r>
      <w:r w:rsidRPr="00FD3692">
        <w:rPr>
          <w:b/>
          <w:sz w:val="19"/>
          <w:szCs w:val="19"/>
          <w:vertAlign w:val="superscript"/>
        </w:rPr>
        <w:t>2,3</w:t>
      </w:r>
      <w:r w:rsidRPr="00FD3692">
        <w:rPr>
          <w:b/>
          <w:sz w:val="19"/>
          <w:szCs w:val="19"/>
        </w:rPr>
        <w:t xml:space="preserve">, </w:t>
      </w:r>
      <w:r w:rsidRPr="00FD3692">
        <w:rPr>
          <w:b/>
          <w:sz w:val="19"/>
          <w:szCs w:val="19"/>
          <w:u w:val="single"/>
        </w:rPr>
        <w:t>Kunji ERS</w:t>
      </w:r>
      <w:r w:rsidRPr="00FD3692">
        <w:rPr>
          <w:b/>
          <w:sz w:val="19"/>
          <w:szCs w:val="19"/>
          <w:u w:val="single"/>
          <w:vertAlign w:val="superscript"/>
        </w:rPr>
        <w:t>1</w:t>
      </w:r>
    </w:p>
    <w:p w:rsidR="00FD3692" w:rsidRPr="00FD3692" w:rsidRDefault="00FD3692" w:rsidP="00FD3692">
      <w:pPr>
        <w:jc w:val="left"/>
        <w:rPr>
          <w:b/>
          <w:sz w:val="19"/>
          <w:szCs w:val="19"/>
        </w:rPr>
      </w:pPr>
    </w:p>
    <w:p w:rsidR="00FD3692" w:rsidRPr="00FD3692" w:rsidRDefault="00FD3692" w:rsidP="00FD3692">
      <w:pPr>
        <w:jc w:val="left"/>
        <w:rPr>
          <w:sz w:val="19"/>
          <w:szCs w:val="19"/>
        </w:rPr>
      </w:pPr>
      <w:r w:rsidRPr="00FD3692">
        <w:rPr>
          <w:sz w:val="19"/>
          <w:szCs w:val="19"/>
          <w:vertAlign w:val="superscript"/>
        </w:rPr>
        <w:t>1</w:t>
      </w:r>
      <w:r w:rsidRPr="00FD3692">
        <w:rPr>
          <w:sz w:val="19"/>
          <w:szCs w:val="19"/>
        </w:rPr>
        <w:t>MRC Mitochondrial Biology Unit, University of Cambridge, Cambridge Biomedical Campus, Cambridge, CB2 0XY, UK.</w:t>
      </w:r>
    </w:p>
    <w:p w:rsidR="00FD3692" w:rsidRPr="00FD3692" w:rsidRDefault="00FD3692" w:rsidP="00FD3692">
      <w:pPr>
        <w:jc w:val="left"/>
        <w:rPr>
          <w:sz w:val="19"/>
          <w:szCs w:val="19"/>
        </w:rPr>
      </w:pPr>
      <w:r w:rsidRPr="00FD3692">
        <w:rPr>
          <w:sz w:val="19"/>
          <w:szCs w:val="19"/>
          <w:vertAlign w:val="superscript"/>
        </w:rPr>
        <w:t>2</w:t>
      </w:r>
      <w:r w:rsidRPr="00FD3692">
        <w:rPr>
          <w:sz w:val="19"/>
          <w:szCs w:val="19"/>
        </w:rPr>
        <w:t>VIB-VUB Center for Structural Biology, VIB, Pleinlaan 2, B-1050 Brussels, Belgium</w:t>
      </w:r>
      <w:r w:rsidRPr="00FD3692">
        <w:rPr>
          <w:rFonts w:eastAsia="MS Mincho"/>
          <w:sz w:val="19"/>
          <w:szCs w:val="19"/>
        </w:rPr>
        <w:t>.</w:t>
      </w:r>
    </w:p>
    <w:p w:rsidR="00FD3692" w:rsidRPr="00FD3692" w:rsidRDefault="00FD3692" w:rsidP="00FD3692">
      <w:pPr>
        <w:jc w:val="left"/>
        <w:rPr>
          <w:sz w:val="19"/>
          <w:szCs w:val="19"/>
        </w:rPr>
      </w:pPr>
      <w:r w:rsidRPr="00FD3692">
        <w:rPr>
          <w:sz w:val="19"/>
          <w:szCs w:val="19"/>
          <w:vertAlign w:val="superscript"/>
        </w:rPr>
        <w:t>3</w:t>
      </w:r>
      <w:r w:rsidRPr="00FD3692">
        <w:rPr>
          <w:sz w:val="19"/>
          <w:szCs w:val="19"/>
        </w:rPr>
        <w:t>Structural Biology Brussels, Vrije Universiteit Brussel, Pleinlaan 2, B-1050 Brussels, Belgium.</w:t>
      </w:r>
    </w:p>
    <w:p w:rsidR="00FD3692" w:rsidRPr="00FD3692" w:rsidRDefault="00FD3692" w:rsidP="00FD3692">
      <w:pPr>
        <w:jc w:val="left"/>
        <w:rPr>
          <w:sz w:val="19"/>
          <w:szCs w:val="19"/>
        </w:rPr>
      </w:pPr>
      <w:r w:rsidRPr="00FD3692">
        <w:rPr>
          <w:sz w:val="19"/>
          <w:szCs w:val="19"/>
          <w:vertAlign w:val="superscript"/>
        </w:rPr>
        <w:t>4</w:t>
      </w:r>
      <w:r w:rsidRPr="00FD3692">
        <w:rPr>
          <w:sz w:val="19"/>
          <w:szCs w:val="19"/>
        </w:rPr>
        <w:t>Computational Structural Biology Section, National Institute of Neurological Disorders and Stroke, National Institutes of Health, Bethesda, MD 20892, USA.</w:t>
      </w:r>
    </w:p>
    <w:p w:rsidR="00861508" w:rsidRPr="00FD3692"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FD3692">
        <w:rPr>
          <w:bCs w:val="0"/>
          <w:i w:val="0"/>
          <w:iCs w:val="0"/>
          <w:noProof w:val="0"/>
          <w:sz w:val="19"/>
          <w:szCs w:val="19"/>
          <w:lang w:val="en-IN" w:eastAsia="en-IN"/>
        </w:rPr>
        <w:t>Oxidative phosphorylation, Transport mechanism, Membrane protein structure, Mitochondria</w:t>
      </w:r>
    </w:p>
    <w:p w:rsidR="00FD3692" w:rsidRPr="0005164C" w:rsidRDefault="00FD3692"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FD3692">
        <w:rPr>
          <w:bCs w:val="0"/>
          <w:i w:val="0"/>
          <w:iCs w:val="0"/>
          <w:noProof w:val="0"/>
          <w:sz w:val="19"/>
          <w:szCs w:val="19"/>
          <w:lang w:val="en-IN" w:eastAsia="en-IN"/>
        </w:rPr>
        <w:t>:</w:t>
      </w:r>
    </w:p>
    <w:p w:rsidR="00FD3692" w:rsidRPr="00FD3692" w:rsidRDefault="00FD3692" w:rsidP="00FD3692">
      <w:pPr>
        <w:jc w:val="both"/>
        <w:rPr>
          <w:sz w:val="19"/>
          <w:szCs w:val="19"/>
        </w:rPr>
      </w:pPr>
      <w:r w:rsidRPr="00FD3692">
        <w:rPr>
          <w:sz w:val="19"/>
          <w:szCs w:val="19"/>
        </w:rPr>
        <w:t>Mitochondrial ADP/ATP carriers in the inner membrane belong to the mitochondrial carrier family and they transport ADP into the mitochondrial matrix for ATP synthesis, and ATP out to the cytosol to fuel the cell. They cycle between cytoplasmic-open and matrix-open states, in which the substrate-binding site is alternately accessible from either compartment for ADP or ATP binding. We will present data that will resolve their mechanism in atomic detail. In agreement with earlier published data, the structural evidence demonstrates that the carrier functions as a monomer [1] and has a single substrate binding site</w:t>
      </w:r>
      <w:r>
        <w:rPr>
          <w:sz w:val="19"/>
          <w:szCs w:val="19"/>
        </w:rPr>
        <w:t xml:space="preserve"> [2</w:t>
      </w:r>
      <w:r w:rsidRPr="00FD3692">
        <w:rPr>
          <w:sz w:val="19"/>
          <w:szCs w:val="19"/>
        </w:rPr>
        <w:t>] and two salt bridge networks that regulate access to this site in a conformation-dependent way</w:t>
      </w:r>
      <w:r>
        <w:rPr>
          <w:sz w:val="19"/>
          <w:szCs w:val="19"/>
        </w:rPr>
        <w:t xml:space="preserve"> [2-4</w:t>
      </w:r>
      <w:r w:rsidRPr="00FD3692">
        <w:rPr>
          <w:sz w:val="19"/>
          <w:szCs w:val="19"/>
        </w:rPr>
        <w:t>]. The structural analysis also explains the role of all conserved sequence features of mitochondrial carriers, showing that the mechanism is universal for this class of transport proteins.</w:t>
      </w:r>
    </w:p>
    <w:p w:rsidR="00883A50" w:rsidRDefault="00883A50" w:rsidP="00883A50">
      <w:pPr>
        <w:jc w:val="both"/>
        <w:rPr>
          <w:sz w:val="19"/>
          <w:szCs w:val="19"/>
          <w:lang w:val="en-IN" w:eastAsia="en-IN"/>
        </w:rPr>
      </w:pPr>
    </w:p>
    <w:p w:rsidR="00FD3692" w:rsidRPr="00FD3692" w:rsidRDefault="00FD3692"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Default="00FD3692" w:rsidP="00FD3692">
      <w:pPr>
        <w:pStyle w:val="BodyText"/>
        <w:ind w:firstLine="0"/>
        <w:rPr>
          <w:sz w:val="19"/>
          <w:szCs w:val="19"/>
        </w:rPr>
      </w:pPr>
      <w:r>
        <w:rPr>
          <w:noProof/>
          <w:sz w:val="19"/>
          <w:szCs w:val="19"/>
        </w:rPr>
        <w:drawing>
          <wp:inline distT="0" distB="0" distL="0" distR="0">
            <wp:extent cx="2889250" cy="256363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1.png"/>
                    <pic:cNvPicPr/>
                  </pic:nvPicPr>
                  <pic:blipFill>
                    <a:blip r:embed="rId5" cstate="print">
                      <a:extLst>
                        <a:ext uri="{28A0092B-C50C-407E-A947-70E740481C1C}">
                          <a14:useLocalDpi xmlns:a14="http://schemas.microsoft.com/office/drawing/2010/main"/>
                        </a:ext>
                      </a:extLst>
                    </a:blip>
                    <a:stretch>
                      <a:fillRect/>
                    </a:stretch>
                  </pic:blipFill>
                  <pic:spPr>
                    <a:xfrm>
                      <a:off x="0" y="0"/>
                      <a:ext cx="2891684" cy="2565796"/>
                    </a:xfrm>
                    <a:prstGeom prst="rect">
                      <a:avLst/>
                    </a:prstGeom>
                  </pic:spPr>
                </pic:pic>
              </a:graphicData>
            </a:graphic>
          </wp:inline>
        </w:drawing>
      </w:r>
    </w:p>
    <w:p w:rsidR="00FD3692" w:rsidRPr="0005164C" w:rsidRDefault="00FD3692" w:rsidP="00FD3692">
      <w:pPr>
        <w:pStyle w:val="BodyText"/>
        <w:ind w:firstLine="0"/>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D3692" w:rsidRPr="00FD3692" w:rsidRDefault="00FD3692" w:rsidP="00FD3692">
      <w:pPr>
        <w:pStyle w:val="ListParagraph"/>
        <w:numPr>
          <w:ilvl w:val="0"/>
          <w:numId w:val="26"/>
        </w:numPr>
        <w:shd w:val="clear" w:color="auto" w:fill="FFFFFF"/>
        <w:spacing w:before="100" w:beforeAutospacing="1" w:after="120"/>
        <w:jc w:val="left"/>
        <w:rPr>
          <w:sz w:val="19"/>
          <w:szCs w:val="19"/>
          <w:lang w:val="en-IN" w:eastAsia="en-IN"/>
        </w:rPr>
      </w:pPr>
      <w:bookmarkStart w:id="1" w:name="2"/>
      <w:bookmarkEnd w:id="1"/>
      <w:r w:rsidRPr="00FD3692">
        <w:rPr>
          <w:sz w:val="19"/>
          <w:szCs w:val="19"/>
          <w:lang w:val="en-IN" w:eastAsia="en-IN"/>
        </w:rPr>
        <w:t>L. Bamber, M. Harding, M. Monné, D.J. Slotboom, E.R.S. Kunji, The yeast mitochondrial ADP/ATP carrier functions as a monomer in mitochondrial membranes, Proc. Natl. Acad. Sci. U.S.A., 104 (2007) 10830-10834.</w:t>
      </w:r>
    </w:p>
    <w:p w:rsidR="00FD3692" w:rsidRPr="00FD3692" w:rsidRDefault="00FD3692" w:rsidP="00FD3692">
      <w:pPr>
        <w:pStyle w:val="ListParagraph"/>
        <w:numPr>
          <w:ilvl w:val="0"/>
          <w:numId w:val="26"/>
        </w:numPr>
        <w:shd w:val="clear" w:color="auto" w:fill="FFFFFF"/>
        <w:spacing w:before="100" w:beforeAutospacing="1" w:after="120"/>
        <w:jc w:val="left"/>
        <w:rPr>
          <w:sz w:val="19"/>
          <w:szCs w:val="19"/>
          <w:lang w:val="en-IN" w:eastAsia="en-IN"/>
        </w:rPr>
      </w:pPr>
      <w:r w:rsidRPr="00FD3692">
        <w:rPr>
          <w:sz w:val="19"/>
          <w:szCs w:val="19"/>
          <w:lang w:val="en-IN" w:eastAsia="en-IN"/>
        </w:rPr>
        <w:t>A.J. Robinson, C. Overy, E.R.S. Kunji, The mechanism of transport by mitochondrial carriers based on analysis of symmetry, Proc. Natl. Acad. Sci. U.S.A., 105 (2008) 17766-17771.</w:t>
      </w:r>
    </w:p>
    <w:p w:rsidR="00FD3692" w:rsidRPr="00FD3692" w:rsidRDefault="00FD3692" w:rsidP="00FD3692">
      <w:pPr>
        <w:pStyle w:val="ListParagraph"/>
        <w:numPr>
          <w:ilvl w:val="0"/>
          <w:numId w:val="26"/>
        </w:numPr>
        <w:shd w:val="clear" w:color="auto" w:fill="FFFFFF"/>
        <w:spacing w:before="100" w:beforeAutospacing="1" w:after="120"/>
        <w:jc w:val="left"/>
        <w:rPr>
          <w:sz w:val="19"/>
          <w:szCs w:val="19"/>
          <w:lang w:val="en-IN" w:eastAsia="en-IN"/>
        </w:rPr>
      </w:pPr>
      <w:r w:rsidRPr="00FD3692">
        <w:rPr>
          <w:sz w:val="19"/>
          <w:szCs w:val="19"/>
          <w:lang w:val="en-IN" w:eastAsia="en-IN"/>
        </w:rPr>
        <w:t>J.J. Ruprecht, A.M. Hellawell, M. Harding, P.G. Crichton, A.J. Mccoy, E.R.S. Kunji, Structures of yeast mitochondrial ADP/ATP carriers support a domain-based alternating-access transport mechanism, Proc. Natl. Acad. Sci. U.S.A, 111 (2014) E426-E434.</w:t>
      </w:r>
    </w:p>
    <w:p w:rsidR="00FD3692" w:rsidRDefault="00FD3692" w:rsidP="00FD3692">
      <w:pPr>
        <w:pStyle w:val="ListParagraph"/>
        <w:numPr>
          <w:ilvl w:val="0"/>
          <w:numId w:val="26"/>
        </w:numPr>
        <w:shd w:val="clear" w:color="auto" w:fill="FFFFFF"/>
        <w:spacing w:before="100" w:beforeAutospacing="1" w:after="120"/>
        <w:jc w:val="left"/>
        <w:rPr>
          <w:sz w:val="19"/>
          <w:szCs w:val="19"/>
          <w:lang w:val="en-IN" w:eastAsia="en-IN"/>
        </w:rPr>
      </w:pPr>
      <w:r w:rsidRPr="00FD3692">
        <w:rPr>
          <w:sz w:val="19"/>
          <w:szCs w:val="19"/>
          <w:lang w:val="en-IN" w:eastAsia="en-IN"/>
        </w:rPr>
        <w:t>M.S. King, M. Kerr, P.G. Crichton, R. Springett, E.R. Kunji, Formation of a cytoplasmic salt bridge network in the matrix state is a fundamental step in the transport mechanism of the mitochondrial ADP/ATP carrier, Biochim. Biophys. Acta, 1857 (2016) 14-22.</w:t>
      </w:r>
    </w:p>
    <w:p w:rsidR="00FD3692" w:rsidRPr="00FD3692" w:rsidRDefault="00FD3692" w:rsidP="00FD3692">
      <w:pPr>
        <w:pStyle w:val="ListParagraph"/>
        <w:shd w:val="clear" w:color="auto" w:fill="FFFFFF"/>
        <w:spacing w:before="100" w:beforeAutospacing="1" w:after="120"/>
        <w:jc w:val="left"/>
        <w:rPr>
          <w:sz w:val="19"/>
          <w:szCs w:val="19"/>
          <w:lang w:val="en-IN" w:eastAsia="en-IN"/>
        </w:rPr>
      </w:pPr>
    </w:p>
    <w:p w:rsidR="00861508" w:rsidRPr="00FD3692" w:rsidRDefault="00861508" w:rsidP="00FD3692">
      <w:pPr>
        <w:pStyle w:val="ListParagraph"/>
        <w:numPr>
          <w:ilvl w:val="0"/>
          <w:numId w:val="22"/>
        </w:numPr>
        <w:shd w:val="clear" w:color="auto" w:fill="FFFFFF"/>
        <w:spacing w:before="100" w:beforeAutospacing="1" w:after="120"/>
        <w:jc w:val="left"/>
        <w:rPr>
          <w:b/>
          <w:sz w:val="19"/>
          <w:szCs w:val="19"/>
        </w:rPr>
      </w:pPr>
      <w:r w:rsidRPr="00FD3692">
        <w:rPr>
          <w:b/>
          <w:sz w:val="19"/>
          <w:szCs w:val="19"/>
          <w:lang w:val="en-IN" w:eastAsia="en-IN"/>
        </w:rPr>
        <w:t>Biography:</w:t>
      </w:r>
    </w:p>
    <w:p w:rsidR="00861508" w:rsidRDefault="00FD3692" w:rsidP="00FD3692">
      <w:pPr>
        <w:jc w:val="both"/>
        <w:rPr>
          <w:sz w:val="19"/>
          <w:szCs w:val="19"/>
        </w:rPr>
      </w:pPr>
      <w:r w:rsidRPr="00FD3692">
        <w:rPr>
          <w:sz w:val="19"/>
          <w:szCs w:val="19"/>
        </w:rPr>
        <w:t>Edmund</w:t>
      </w:r>
      <w:r>
        <w:rPr>
          <w:sz w:val="19"/>
          <w:szCs w:val="19"/>
        </w:rPr>
        <w:t xml:space="preserve"> </w:t>
      </w:r>
      <w:r w:rsidRPr="00FD3692">
        <w:rPr>
          <w:sz w:val="19"/>
          <w:szCs w:val="19"/>
        </w:rPr>
        <w:t>Kunji</w:t>
      </w:r>
      <w:r>
        <w:rPr>
          <w:sz w:val="19"/>
          <w:szCs w:val="19"/>
        </w:rPr>
        <w:t xml:space="preserve"> </w:t>
      </w:r>
      <w:r w:rsidRPr="00FD3692">
        <w:rPr>
          <w:sz w:val="19"/>
          <w:szCs w:val="19"/>
        </w:rPr>
        <w:t>holds</w:t>
      </w:r>
      <w:r>
        <w:rPr>
          <w:sz w:val="19"/>
          <w:szCs w:val="19"/>
        </w:rPr>
        <w:t xml:space="preserve"> </w:t>
      </w:r>
      <w:r w:rsidRPr="00FD3692">
        <w:rPr>
          <w:sz w:val="19"/>
          <w:szCs w:val="19"/>
        </w:rPr>
        <w:t>a</w:t>
      </w:r>
      <w:r>
        <w:rPr>
          <w:sz w:val="19"/>
          <w:szCs w:val="19"/>
        </w:rPr>
        <w:t xml:space="preserve"> </w:t>
      </w:r>
      <w:r w:rsidRPr="00FD3692">
        <w:rPr>
          <w:sz w:val="19"/>
          <w:szCs w:val="19"/>
        </w:rPr>
        <w:t>Ph.D.</w:t>
      </w:r>
      <w:r>
        <w:rPr>
          <w:sz w:val="19"/>
          <w:szCs w:val="19"/>
        </w:rPr>
        <w:t xml:space="preserve"> </w:t>
      </w:r>
      <w:r w:rsidRPr="00FD3692">
        <w:rPr>
          <w:sz w:val="19"/>
          <w:szCs w:val="19"/>
        </w:rPr>
        <w:t>in</w:t>
      </w:r>
      <w:r>
        <w:rPr>
          <w:sz w:val="19"/>
          <w:szCs w:val="19"/>
        </w:rPr>
        <w:t xml:space="preserve"> </w:t>
      </w:r>
      <w:r w:rsidRPr="00FD3692">
        <w:rPr>
          <w:sz w:val="19"/>
          <w:szCs w:val="19"/>
        </w:rPr>
        <w:t>Mathematics</w:t>
      </w:r>
      <w:r>
        <w:rPr>
          <w:sz w:val="19"/>
          <w:szCs w:val="19"/>
        </w:rPr>
        <w:t xml:space="preserve"> </w:t>
      </w:r>
      <w:r w:rsidRPr="00FD3692">
        <w:rPr>
          <w:sz w:val="19"/>
          <w:szCs w:val="19"/>
        </w:rPr>
        <w:t>and</w:t>
      </w:r>
      <w:r>
        <w:rPr>
          <w:sz w:val="19"/>
          <w:szCs w:val="19"/>
        </w:rPr>
        <w:t xml:space="preserve"> </w:t>
      </w:r>
      <w:r w:rsidRPr="00FD3692">
        <w:rPr>
          <w:sz w:val="19"/>
          <w:szCs w:val="19"/>
        </w:rPr>
        <w:t>Natural</w:t>
      </w:r>
      <w:r>
        <w:rPr>
          <w:sz w:val="19"/>
          <w:szCs w:val="19"/>
        </w:rPr>
        <w:t xml:space="preserve"> </w:t>
      </w:r>
      <w:r w:rsidRPr="00FD3692">
        <w:rPr>
          <w:sz w:val="19"/>
          <w:szCs w:val="19"/>
        </w:rPr>
        <w:t>Sciences</w:t>
      </w:r>
      <w:r>
        <w:rPr>
          <w:sz w:val="19"/>
          <w:szCs w:val="19"/>
        </w:rPr>
        <w:t xml:space="preserve"> </w:t>
      </w:r>
      <w:r w:rsidRPr="00FD3692">
        <w:rPr>
          <w:sz w:val="19"/>
          <w:szCs w:val="19"/>
        </w:rPr>
        <w:t>from the University of Groningen</w:t>
      </w:r>
      <w:r>
        <w:rPr>
          <w:sz w:val="19"/>
          <w:szCs w:val="19"/>
        </w:rPr>
        <w:t xml:space="preserve"> and was an EMBO </w:t>
      </w:r>
      <w:r w:rsidRPr="00FD3692">
        <w:rPr>
          <w:sz w:val="19"/>
          <w:szCs w:val="19"/>
        </w:rPr>
        <w:t>Postdoctoral</w:t>
      </w:r>
      <w:r>
        <w:rPr>
          <w:sz w:val="19"/>
          <w:szCs w:val="19"/>
        </w:rPr>
        <w:t xml:space="preserve"> </w:t>
      </w:r>
      <w:r w:rsidRPr="00FD3692">
        <w:rPr>
          <w:sz w:val="19"/>
          <w:szCs w:val="19"/>
        </w:rPr>
        <w:t>Fellow</w:t>
      </w:r>
      <w:r>
        <w:rPr>
          <w:sz w:val="19"/>
          <w:szCs w:val="19"/>
        </w:rPr>
        <w:t xml:space="preserve"> </w:t>
      </w:r>
      <w:r w:rsidRPr="00FD3692">
        <w:rPr>
          <w:sz w:val="19"/>
          <w:szCs w:val="19"/>
        </w:rPr>
        <w:t>with</w:t>
      </w:r>
      <w:r>
        <w:rPr>
          <w:sz w:val="19"/>
          <w:szCs w:val="19"/>
        </w:rPr>
        <w:t xml:space="preserve"> </w:t>
      </w:r>
      <w:r w:rsidRPr="00FD3692">
        <w:rPr>
          <w:sz w:val="19"/>
          <w:szCs w:val="19"/>
        </w:rPr>
        <w:t>Richard</w:t>
      </w:r>
      <w:r>
        <w:rPr>
          <w:sz w:val="19"/>
          <w:szCs w:val="19"/>
        </w:rPr>
        <w:t xml:space="preserve"> </w:t>
      </w:r>
      <w:r w:rsidRPr="00FD3692">
        <w:rPr>
          <w:sz w:val="19"/>
          <w:szCs w:val="19"/>
        </w:rPr>
        <w:t>Henderson</w:t>
      </w:r>
      <w:r>
        <w:rPr>
          <w:sz w:val="19"/>
          <w:szCs w:val="19"/>
        </w:rPr>
        <w:t xml:space="preserve"> </w:t>
      </w:r>
      <w:r w:rsidRPr="00FD3692">
        <w:rPr>
          <w:sz w:val="19"/>
          <w:szCs w:val="19"/>
        </w:rPr>
        <w:t>at</w:t>
      </w:r>
      <w:r>
        <w:rPr>
          <w:sz w:val="19"/>
          <w:szCs w:val="19"/>
        </w:rPr>
        <w:t xml:space="preserve"> </w:t>
      </w:r>
      <w:r w:rsidRPr="00FD3692">
        <w:rPr>
          <w:sz w:val="19"/>
          <w:szCs w:val="19"/>
        </w:rPr>
        <w:t>the</w:t>
      </w:r>
      <w:r>
        <w:rPr>
          <w:sz w:val="19"/>
          <w:szCs w:val="19"/>
        </w:rPr>
        <w:t xml:space="preserve"> </w:t>
      </w:r>
      <w:r w:rsidRPr="00FD3692">
        <w:rPr>
          <w:sz w:val="19"/>
          <w:szCs w:val="19"/>
        </w:rPr>
        <w:t>MRC</w:t>
      </w:r>
      <w:r>
        <w:rPr>
          <w:sz w:val="19"/>
          <w:szCs w:val="19"/>
        </w:rPr>
        <w:t xml:space="preserve"> </w:t>
      </w:r>
      <w:r w:rsidRPr="00FD3692">
        <w:rPr>
          <w:sz w:val="19"/>
          <w:szCs w:val="19"/>
        </w:rPr>
        <w:t>Laboratory</w:t>
      </w:r>
      <w:r>
        <w:rPr>
          <w:sz w:val="19"/>
          <w:szCs w:val="19"/>
        </w:rPr>
        <w:t xml:space="preserve"> of </w:t>
      </w:r>
      <w:r w:rsidRPr="00FD3692">
        <w:rPr>
          <w:sz w:val="19"/>
          <w:szCs w:val="19"/>
        </w:rPr>
        <w:t xml:space="preserve">Molecular Biology, </w:t>
      </w:r>
      <w:r>
        <w:rPr>
          <w:sz w:val="19"/>
          <w:szCs w:val="19"/>
        </w:rPr>
        <w:t xml:space="preserve">Cambridge. Since 2000, he is a </w:t>
      </w:r>
      <w:r w:rsidRPr="00FD3692">
        <w:rPr>
          <w:sz w:val="19"/>
          <w:szCs w:val="19"/>
        </w:rPr>
        <w:t>Research Group Leader at the MRC Mitochondrial Biology Unit, University of Cambridge, wh</w:t>
      </w:r>
      <w:r w:rsidR="004B2EEB">
        <w:rPr>
          <w:sz w:val="19"/>
          <w:szCs w:val="19"/>
        </w:rPr>
        <w:t xml:space="preserve">ere he works with his group on </w:t>
      </w:r>
      <w:r w:rsidRPr="00FD3692">
        <w:rPr>
          <w:sz w:val="19"/>
          <w:szCs w:val="19"/>
        </w:rPr>
        <w:t xml:space="preserve">structures </w:t>
      </w:r>
      <w:r w:rsidR="004B2EEB">
        <w:rPr>
          <w:sz w:val="19"/>
          <w:szCs w:val="19"/>
        </w:rPr>
        <w:t xml:space="preserve">of </w:t>
      </w:r>
      <w:r w:rsidR="00140122">
        <w:rPr>
          <w:sz w:val="19"/>
          <w:szCs w:val="19"/>
        </w:rPr>
        <w:t xml:space="preserve">transport proteins </w:t>
      </w:r>
      <w:r>
        <w:rPr>
          <w:sz w:val="19"/>
          <w:szCs w:val="19"/>
        </w:rPr>
        <w:t xml:space="preserve">to </w:t>
      </w:r>
      <w:r w:rsidRPr="00FD3692">
        <w:rPr>
          <w:sz w:val="19"/>
          <w:szCs w:val="19"/>
        </w:rPr>
        <w:t>elucidate the transport processes in mitochondria.</w:t>
      </w:r>
    </w:p>
    <w:p w:rsidR="00FD3692" w:rsidRPr="0005164C" w:rsidRDefault="00FD3692" w:rsidP="00FD3692">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FD3692" w:rsidRDefault="00FD3692" w:rsidP="00861508">
      <w:pPr>
        <w:autoSpaceDE w:val="0"/>
        <w:autoSpaceDN w:val="0"/>
        <w:adjustRightInd w:val="0"/>
        <w:jc w:val="left"/>
        <w:rPr>
          <w:sz w:val="19"/>
          <w:szCs w:val="19"/>
          <w:lang w:val="en-NZ"/>
        </w:rPr>
      </w:pPr>
      <w:r>
        <w:rPr>
          <w:noProof/>
          <w:sz w:val="19"/>
          <w:szCs w:val="19"/>
          <w:lang w:val="en-NZ"/>
        </w:rPr>
        <w:drawing>
          <wp:inline distT="0" distB="0" distL="0" distR="0">
            <wp:extent cx="475512" cy="711200"/>
            <wp:effectExtent l="12700" t="12700" r="762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mund Kunji.png"/>
                    <pic:cNvPicPr/>
                  </pic:nvPicPr>
                  <pic:blipFill>
                    <a:blip r:embed="rId6" cstate="print">
                      <a:extLst>
                        <a:ext uri="{28A0092B-C50C-407E-A947-70E740481C1C}">
                          <a14:useLocalDpi xmlns:a14="http://schemas.microsoft.com/office/drawing/2010/main"/>
                        </a:ext>
                      </a:extLst>
                    </a:blip>
                    <a:stretch>
                      <a:fillRect/>
                    </a:stretch>
                  </pic:blipFill>
                  <pic:spPr>
                    <a:xfrm>
                      <a:off x="0" y="0"/>
                      <a:ext cx="488205" cy="730185"/>
                    </a:xfrm>
                    <a:prstGeom prst="rect">
                      <a:avLst/>
                    </a:prstGeom>
                    <a:ln>
                      <a:solidFill>
                        <a:schemeClr val="accent1"/>
                      </a:solidFill>
                    </a:ln>
                  </pic:spPr>
                </pic:pic>
              </a:graphicData>
            </a:graphic>
          </wp:inline>
        </w:drawing>
      </w:r>
    </w:p>
    <w:p w:rsidR="004B2EEB" w:rsidRPr="0005164C" w:rsidRDefault="004B2EEB" w:rsidP="00861508">
      <w:pPr>
        <w:autoSpaceDE w:val="0"/>
        <w:autoSpaceDN w:val="0"/>
        <w:adjustRightInd w:val="0"/>
        <w:jc w:val="left"/>
        <w:rPr>
          <w:sz w:val="19"/>
          <w:szCs w:val="19"/>
          <w:lang w:val="en-NZ"/>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FD3692">
        <w:rPr>
          <w:sz w:val="19"/>
          <w:szCs w:val="19"/>
          <w:lang w:val="en-NZ"/>
        </w:rPr>
        <w:t xml:space="preserve"> Edmund Kunji</w:t>
      </w:r>
    </w:p>
    <w:p w:rsidR="00FD3692" w:rsidRDefault="00861508" w:rsidP="00861508">
      <w:pPr>
        <w:autoSpaceDE w:val="0"/>
        <w:autoSpaceDN w:val="0"/>
        <w:adjustRightInd w:val="0"/>
        <w:jc w:val="left"/>
        <w:rPr>
          <w:sz w:val="19"/>
          <w:szCs w:val="19"/>
          <w:lang w:val="en-NZ"/>
        </w:rPr>
      </w:pPr>
      <w:r w:rsidRPr="0005164C">
        <w:rPr>
          <w:sz w:val="19"/>
          <w:szCs w:val="19"/>
          <w:lang w:val="en-NZ"/>
        </w:rPr>
        <w:t>Contact number:</w:t>
      </w:r>
      <w:r w:rsidR="00FD3692">
        <w:rPr>
          <w:sz w:val="19"/>
          <w:szCs w:val="19"/>
          <w:lang w:val="en-NZ"/>
        </w:rPr>
        <w:t xml:space="preserve"> +44-1223-252850</w:t>
      </w:r>
      <w:r w:rsidR="00FD3692">
        <w:rPr>
          <w:sz w:val="19"/>
          <w:szCs w:val="19"/>
          <w:lang w:val="en-NZ"/>
        </w:rPr>
        <w:br/>
        <w:t xml:space="preserve">Twitter account: </w:t>
      </w:r>
      <w:r w:rsidR="00FD3692" w:rsidRPr="00FD3692">
        <w:rPr>
          <w:sz w:val="19"/>
          <w:szCs w:val="19"/>
          <w:lang w:val="en-NZ"/>
        </w:rPr>
        <w:t>https://twitter.com/Mitocarriers</w:t>
      </w:r>
    </w:p>
    <w:p w:rsidR="00194944" w:rsidRDefault="00861508" w:rsidP="00861508">
      <w:pPr>
        <w:autoSpaceDE w:val="0"/>
        <w:autoSpaceDN w:val="0"/>
        <w:adjustRightInd w:val="0"/>
        <w:jc w:val="left"/>
        <w:rPr>
          <w:sz w:val="19"/>
          <w:szCs w:val="19"/>
          <w:lang w:val="en-NZ"/>
        </w:rPr>
      </w:pPr>
      <w:r w:rsidRPr="0005164C">
        <w:rPr>
          <w:sz w:val="19"/>
          <w:szCs w:val="19"/>
          <w:lang w:val="en-NZ"/>
        </w:rPr>
        <w:t>S</w:t>
      </w:r>
      <w:r w:rsidR="00194944">
        <w:rPr>
          <w:sz w:val="19"/>
          <w:szCs w:val="19"/>
          <w:lang w:val="en-NZ"/>
        </w:rPr>
        <w:t>ession name/</w:t>
      </w:r>
      <w:r w:rsidR="00FD3692">
        <w:rPr>
          <w:sz w:val="19"/>
          <w:szCs w:val="19"/>
          <w:lang w:val="en-NZ"/>
        </w:rPr>
        <w:t xml:space="preserve">number: </w:t>
      </w:r>
      <w:r w:rsidR="00140122">
        <w:rPr>
          <w:sz w:val="19"/>
          <w:szCs w:val="19"/>
          <w:lang w:val="en-NZ"/>
        </w:rPr>
        <w:t>M</w:t>
      </w:r>
      <w:r w:rsidR="00194944" w:rsidRPr="00194944">
        <w:rPr>
          <w:sz w:val="19"/>
          <w:szCs w:val="19"/>
          <w:lang w:val="en-NZ"/>
        </w:rPr>
        <w:t>embrane</w:t>
      </w:r>
      <w:r w:rsidR="00194944">
        <w:rPr>
          <w:sz w:val="19"/>
          <w:szCs w:val="19"/>
          <w:lang w:val="en-NZ"/>
        </w:rPr>
        <w:t xml:space="preserve"> protein structure and function</w:t>
      </w:r>
    </w:p>
    <w:p w:rsidR="00861508" w:rsidRPr="00FD3692" w:rsidRDefault="00FD3692" w:rsidP="00861508">
      <w:pPr>
        <w:autoSpaceDE w:val="0"/>
        <w:autoSpaceDN w:val="0"/>
        <w:adjustRightInd w:val="0"/>
        <w:jc w:val="left"/>
        <w:rPr>
          <w:sz w:val="19"/>
          <w:szCs w:val="19"/>
          <w:lang w:val="en-NZ"/>
        </w:rPr>
      </w:pPr>
      <w:r>
        <w:rPr>
          <w:sz w:val="19"/>
          <w:szCs w:val="19"/>
          <w:lang w:val="en-NZ"/>
        </w:rPr>
        <w:t xml:space="preserve">Category: </w:t>
      </w:r>
      <w:r w:rsidR="00861508" w:rsidRPr="0005164C">
        <w:rPr>
          <w:sz w:val="19"/>
          <w:szCs w:val="19"/>
          <w:lang w:val="en-NZ"/>
        </w:rPr>
        <w:t>Oral presentation</w:t>
      </w:r>
    </w:p>
    <w:sectPr w:rsidR="00861508" w:rsidRPr="00FD3692"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A274134"/>
    <w:multiLevelType w:val="hybridMultilevel"/>
    <w:tmpl w:val="DB3C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140122"/>
    <w:rsid w:val="00194944"/>
    <w:rsid w:val="002043C0"/>
    <w:rsid w:val="00272C82"/>
    <w:rsid w:val="00276735"/>
    <w:rsid w:val="002864A3"/>
    <w:rsid w:val="002B3B81"/>
    <w:rsid w:val="00351E9B"/>
    <w:rsid w:val="003A47B5"/>
    <w:rsid w:val="003A59A6"/>
    <w:rsid w:val="003C0794"/>
    <w:rsid w:val="004059FE"/>
    <w:rsid w:val="004227FF"/>
    <w:rsid w:val="004445B3"/>
    <w:rsid w:val="004B2EEB"/>
    <w:rsid w:val="005B520E"/>
    <w:rsid w:val="005B535B"/>
    <w:rsid w:val="006108A4"/>
    <w:rsid w:val="00663E31"/>
    <w:rsid w:val="006C4648"/>
    <w:rsid w:val="006E77DB"/>
    <w:rsid w:val="006F49A6"/>
    <w:rsid w:val="0072064C"/>
    <w:rsid w:val="007442B3"/>
    <w:rsid w:val="00753F7B"/>
    <w:rsid w:val="0078398E"/>
    <w:rsid w:val="00787C5A"/>
    <w:rsid w:val="007919DE"/>
    <w:rsid w:val="007C0308"/>
    <w:rsid w:val="007F11B9"/>
    <w:rsid w:val="008014D2"/>
    <w:rsid w:val="008054BC"/>
    <w:rsid w:val="00812538"/>
    <w:rsid w:val="00841147"/>
    <w:rsid w:val="00861508"/>
    <w:rsid w:val="00883A50"/>
    <w:rsid w:val="008A55B5"/>
    <w:rsid w:val="008A75C8"/>
    <w:rsid w:val="00907876"/>
    <w:rsid w:val="0097508D"/>
    <w:rsid w:val="009D49B8"/>
    <w:rsid w:val="00A510F7"/>
    <w:rsid w:val="00AC6519"/>
    <w:rsid w:val="00CB1404"/>
    <w:rsid w:val="00CB66E6"/>
    <w:rsid w:val="00D319E1"/>
    <w:rsid w:val="00D9156D"/>
    <w:rsid w:val="00E177DC"/>
    <w:rsid w:val="00E91219"/>
    <w:rsid w:val="00E918C4"/>
    <w:rsid w:val="00EA506F"/>
    <w:rsid w:val="00EE4362"/>
    <w:rsid w:val="00EF18D7"/>
    <w:rsid w:val="00EF1E8A"/>
    <w:rsid w:val="00EF3A1A"/>
    <w:rsid w:val="00F171B1"/>
    <w:rsid w:val="00FD3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E5049B14-73F1-D74C-9F76-EA1659E4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rPr>
  </w:style>
  <w:style w:type="paragraph" w:customStyle="1" w:styleId="Affiliation">
    <w:name w:val="Affiliation"/>
    <w:uiPriority w:val="99"/>
    <w:pPr>
      <w:jc w:val="center"/>
    </w:pPr>
    <w:rPr>
      <w:rFonts w:ascii="Times New Roman" w:hAnsi="Times New Roman"/>
      <w:lang w:val="en-US"/>
    </w:rPr>
  </w:style>
  <w:style w:type="paragraph" w:customStyle="1" w:styleId="Author">
    <w:name w:val="Author"/>
    <w:uiPriority w:val="99"/>
    <w:pPr>
      <w:spacing w:before="360" w:after="40"/>
      <w:jc w:val="center"/>
    </w:pPr>
    <w:rPr>
      <w:rFonts w:ascii="Times New Roman" w:hAnsi="Times New Roman"/>
      <w:noProof/>
      <w:sz w:val="22"/>
      <w:szCs w:val="22"/>
      <w:lang w:val="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34"/>
    <w:qFormat/>
    <w:rsid w:val="00FD3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465</Words>
  <Characters>2815</Characters>
  <Application>Microsoft Office Word</Application>
  <DocSecurity>0</DocSecurity>
  <Lines>38</Lines>
  <Paragraphs>19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3261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Microsoft Office User</cp:lastModifiedBy>
  <cp:revision>6</cp:revision>
  <dcterms:created xsi:type="dcterms:W3CDTF">2018-05-09T14:32:00Z</dcterms:created>
  <dcterms:modified xsi:type="dcterms:W3CDTF">2018-05-09T15:52:00Z</dcterms:modified>
</cp:coreProperties>
</file>