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AF6" w:rsidRPr="00484E61" w:rsidRDefault="00CF0AF6" w:rsidP="00453EAB">
      <w:pPr>
        <w:autoSpaceDE w:val="0"/>
        <w:autoSpaceDN w:val="0"/>
        <w:adjustRightInd w:val="0"/>
        <w:rPr>
          <w:rFonts w:ascii="Times New Roman" w:hAnsi="Times New Roman" w:cs="Times New Roman"/>
          <w:b/>
          <w:sz w:val="24"/>
          <w:szCs w:val="24"/>
        </w:rPr>
      </w:pPr>
      <w:r w:rsidRPr="00484E61">
        <w:rPr>
          <w:rFonts w:ascii="Times New Roman" w:hAnsi="Times New Roman" w:cs="Times New Roman"/>
          <w:b/>
          <w:sz w:val="24"/>
          <w:szCs w:val="24"/>
        </w:rPr>
        <w:t>Plant cell culture technology</w:t>
      </w:r>
      <w:r>
        <w:rPr>
          <w:rFonts w:ascii="Times New Roman" w:hAnsi="Times New Roman" w:cs="Times New Roman"/>
          <w:b/>
          <w:sz w:val="24"/>
          <w:szCs w:val="24"/>
        </w:rPr>
        <w:t>;</w:t>
      </w:r>
      <w:r w:rsidRPr="00484E61">
        <w:rPr>
          <w:rFonts w:ascii="Times New Roman" w:hAnsi="Times New Roman" w:cs="Times New Roman"/>
          <w:b/>
          <w:sz w:val="24"/>
          <w:szCs w:val="24"/>
        </w:rPr>
        <w:t xml:space="preserve"> an effective biotechnology tool for taxol</w:t>
      </w:r>
      <w:r>
        <w:rPr>
          <w:rFonts w:ascii="Times New Roman" w:hAnsi="Times New Roman" w:cs="Times New Roman"/>
          <w:b/>
          <w:sz w:val="24"/>
          <w:szCs w:val="24"/>
        </w:rPr>
        <w:t xml:space="preserve"> and related taxanes</w:t>
      </w:r>
      <w:r w:rsidRPr="00484E61">
        <w:rPr>
          <w:rFonts w:ascii="Times New Roman" w:hAnsi="Times New Roman" w:cs="Times New Roman"/>
          <w:b/>
          <w:sz w:val="24"/>
          <w:szCs w:val="24"/>
        </w:rPr>
        <w:t xml:space="preserve"> production</w:t>
      </w:r>
    </w:p>
    <w:p w:rsidR="00CF0AF6" w:rsidRPr="004108A6" w:rsidRDefault="00CF0AF6" w:rsidP="005973B9">
      <w:pPr>
        <w:pStyle w:val="BodyText"/>
        <w:spacing w:before="73" w:line="198" w:lineRule="exact"/>
        <w:ind w:left="100" w:right="5987"/>
        <w:rPr>
          <w:rFonts w:ascii="Arial" w:hAnsi="Arial" w:cs="Arial"/>
          <w:sz w:val="14"/>
          <w:szCs w:val="14"/>
        </w:rPr>
      </w:pPr>
      <w:r w:rsidRPr="004108A6">
        <w:rPr>
          <w:rFonts w:ascii="Arial" w:hAnsi="Arial" w:cs="Arial"/>
          <w:sz w:val="14"/>
          <w:szCs w:val="14"/>
        </w:rPr>
        <w:t>Samavia Mubeen, PhD, Sun Yat-sen University Guangzhou, China</w:t>
      </w:r>
    </w:p>
    <w:p w:rsidR="00CF0AF6" w:rsidRPr="004108A6" w:rsidRDefault="007106AA"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 xml:space="preserve">Chun-Tao </w:t>
      </w:r>
      <w:r w:rsidR="00214446" w:rsidRPr="004108A6">
        <w:rPr>
          <w:rFonts w:ascii="Arial" w:hAnsi="Arial" w:cs="Arial"/>
          <w:sz w:val="14"/>
          <w:szCs w:val="14"/>
        </w:rPr>
        <w:t>He,</w:t>
      </w:r>
      <w:r w:rsidR="00CF0AF6" w:rsidRPr="004108A6">
        <w:rPr>
          <w:rFonts w:ascii="Arial" w:hAnsi="Arial" w:cs="Arial"/>
          <w:sz w:val="14"/>
          <w:szCs w:val="14"/>
        </w:rPr>
        <w:t xml:space="preserve"> PhD, Sun Yat-sen University Guangzhou, China</w:t>
      </w:r>
    </w:p>
    <w:p w:rsidR="00AE3E37" w:rsidRPr="004108A6" w:rsidRDefault="00CF0AF6" w:rsidP="00CF0AF6">
      <w:pPr>
        <w:pStyle w:val="BodyText"/>
        <w:spacing w:before="73" w:line="198" w:lineRule="exact"/>
        <w:ind w:left="100" w:right="5987"/>
        <w:rPr>
          <w:rFonts w:ascii="Arial" w:hAnsi="Arial" w:cs="Arial"/>
          <w:sz w:val="14"/>
          <w:szCs w:val="14"/>
        </w:rPr>
      </w:pPr>
      <w:r w:rsidRPr="004108A6">
        <w:rPr>
          <w:rFonts w:ascii="Arial" w:hAnsi="Arial" w:cs="Arial"/>
          <w:sz w:val="14"/>
          <w:szCs w:val="14"/>
        </w:rPr>
        <w:t>Zhong-Yi Yang</w:t>
      </w:r>
      <w:r w:rsidR="00214446" w:rsidRPr="004108A6">
        <w:rPr>
          <w:rFonts w:ascii="Arial" w:hAnsi="Arial" w:cs="Arial"/>
          <w:sz w:val="14"/>
          <w:szCs w:val="14"/>
        </w:rPr>
        <w:t>,</w:t>
      </w:r>
      <w:r w:rsidRPr="004108A6">
        <w:rPr>
          <w:rFonts w:ascii="Arial" w:hAnsi="Arial" w:cs="Arial"/>
          <w:sz w:val="14"/>
          <w:szCs w:val="14"/>
        </w:rPr>
        <w:t xml:space="preserve"> PhD, Sun Yat-sen University Guangzhou, China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9608AA" w:rsidRDefault="009608AA" w:rsidP="009608AA">
      <w:pPr>
        <w:pStyle w:val="Heading3"/>
        <w:spacing w:before="147"/>
        <w:ind w:left="0"/>
        <w:jc w:val="both"/>
      </w:pPr>
    </w:p>
    <w:p w:rsidR="00CF0AF6" w:rsidRPr="00CF0AF6" w:rsidRDefault="00A9710C" w:rsidP="00214446">
      <w:pPr>
        <w:pStyle w:val="Heading3"/>
        <w:spacing w:before="147"/>
        <w:ind w:left="0"/>
        <w:jc w:val="both"/>
      </w:pPr>
      <w:r w:rsidRPr="00CF0AF6">
        <w:t>Abstract</w:t>
      </w:r>
      <w:r w:rsidR="00404E5B" w:rsidRPr="00CF0AF6">
        <w:t xml:space="preserve"> </w:t>
      </w:r>
    </w:p>
    <w:p w:rsidR="00CF0AF6" w:rsidRPr="00CF0AF6" w:rsidRDefault="00E8516C" w:rsidP="00214446">
      <w:pPr>
        <w:autoSpaceDE w:val="0"/>
        <w:autoSpaceDN w:val="0"/>
        <w:adjustRightInd w:val="0"/>
        <w:spacing w:line="360" w:lineRule="auto"/>
        <w:jc w:val="both"/>
        <w:rPr>
          <w:rFonts w:cs="Calibri"/>
          <w:sz w:val="18"/>
          <w:szCs w:val="18"/>
        </w:rPr>
      </w:pPr>
      <w:r>
        <w:rPr>
          <w:rFonts w:cs="Calibri"/>
          <w:sz w:val="18"/>
          <w:szCs w:val="18"/>
        </w:rPr>
        <w:t>T</w:t>
      </w:r>
      <w:r w:rsidRPr="00E8516C">
        <w:rPr>
          <w:rFonts w:cs="Calibri"/>
          <w:sz w:val="18"/>
          <w:szCs w:val="18"/>
        </w:rPr>
        <w:t xml:space="preserve">axol, also known as paclitaxel is a most promising chemotherapeutic agent against numerous cancers including ovarian, breast and lungs cancers. This biologically active compound was initially isolated from the inner bark of </w:t>
      </w:r>
      <w:r w:rsidRPr="006E24E9">
        <w:rPr>
          <w:rFonts w:cs="Calibri"/>
          <w:i/>
          <w:sz w:val="18"/>
          <w:szCs w:val="18"/>
        </w:rPr>
        <w:t>Taxus brevifolia</w:t>
      </w:r>
      <w:r w:rsidRPr="00E8516C">
        <w:rPr>
          <w:rFonts w:cs="Calibri"/>
          <w:sz w:val="18"/>
          <w:szCs w:val="18"/>
        </w:rPr>
        <w:t xml:space="preserve"> (Pacific yew). The demand for ta</w:t>
      </w:r>
      <w:r w:rsidR="008C3C8E">
        <w:rPr>
          <w:rFonts w:cs="Calibri"/>
          <w:sz w:val="18"/>
          <w:szCs w:val="18"/>
        </w:rPr>
        <w:t>xol supply was greatly exceed</w:t>
      </w:r>
      <w:r w:rsidRPr="00E8516C">
        <w:rPr>
          <w:rFonts w:cs="Calibri"/>
          <w:sz w:val="18"/>
          <w:szCs w:val="18"/>
        </w:rPr>
        <w:t xml:space="preserve"> due to the accumulation of taxol at very low concentration, slow growth of tree and high cost of extraction. Due to these reasons, searches for alternative sources were made including the screening of plants other than taxus, chemical synthesis, semi-synthesis of taxol by conversion of baccatin III (BAC III) or 10-deacethylbaccatin III (10-DAB III) and microbial fermentation. Neither of these sources was viable at industrial level due to the high cost of production, lengthy steps, low production and difficulty in the extraction process. Plant cell culture is an attractive biotechnological strategy to secure sustainable and economical production of taxol and related taxane at the industrial level. </w:t>
      </w:r>
      <w:r w:rsidR="00664A15" w:rsidRPr="00664A15">
        <w:rPr>
          <w:rFonts w:cs="Calibri"/>
          <w:sz w:val="18"/>
          <w:szCs w:val="18"/>
        </w:rPr>
        <w:t>Different strategies such as cell line selection, growth condition optimization, physical parameters, elicitation, extraction, and scale-up to bioreactor have been extensively investigated to improve the production of taxol. This review will shed light on recent advances in taxus cell culture technology, focusing on optimizing strategies to improve taxol and related taxoid production in cell culture system. We will also summarize the progress towards the problem associated with the production of taxol by cell culture technology at the commercial level and will also highlight the recent success.</w:t>
      </w:r>
    </w:p>
    <w:p w:rsidR="009608AA" w:rsidRDefault="00A9710C">
      <w:pPr>
        <w:pStyle w:val="Heading3"/>
        <w:spacing w:before="74"/>
        <w:rPr>
          <w:b w:val="0"/>
        </w:rPr>
      </w:pPr>
      <w:r>
        <w:rPr>
          <w:b w:val="0"/>
        </w:rPr>
        <w:br w:type="column"/>
      </w:r>
    </w:p>
    <w:p w:rsidR="00AE3E37" w:rsidRDefault="00A9710C" w:rsidP="00214446">
      <w:pPr>
        <w:pStyle w:val="Heading3"/>
        <w:spacing w:before="74"/>
        <w:ind w:left="0"/>
      </w:pPr>
      <w:r w:rsidRPr="009608AA">
        <w:t>Image</w:t>
      </w:r>
    </w:p>
    <w:p w:rsidR="009608AA" w:rsidRPr="009608AA" w:rsidRDefault="009608AA" w:rsidP="00214446">
      <w:pPr>
        <w:pStyle w:val="Heading3"/>
        <w:spacing w:before="74"/>
        <w:ind w:left="0"/>
      </w:pPr>
    </w:p>
    <w:p w:rsidR="00AE3E37" w:rsidRDefault="0015617A" w:rsidP="009608AA">
      <w:pPr>
        <w:pStyle w:val="BodyText"/>
        <w:spacing w:before="2"/>
        <w:jc w:val="center"/>
        <w:rPr>
          <w:rFonts w:ascii="Arial"/>
          <w:b/>
          <w:sz w:val="16"/>
        </w:rPr>
      </w:pPr>
      <w:r>
        <w:rPr>
          <w:rFonts w:ascii="Arial"/>
          <w:b/>
          <w:noProof/>
          <w:sz w:val="16"/>
          <w:lang w:eastAsia="zh-CN"/>
        </w:rPr>
        <w:drawing>
          <wp:inline distT="0" distB="0" distL="0" distR="0">
            <wp:extent cx="2175510" cy="2085322"/>
            <wp:effectExtent l="19050" t="0" r="0" b="0"/>
            <wp:docPr id="1" name="Picture 2" descr="C:\Users\HP\Desktop\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pic.png"/>
                    <pic:cNvPicPr>
                      <a:picLocks noChangeAspect="1" noChangeArrowheads="1"/>
                    </pic:cNvPicPr>
                  </pic:nvPicPr>
                  <pic:blipFill>
                    <a:blip r:embed="rId9" cstate="print"/>
                    <a:srcRect/>
                    <a:stretch>
                      <a:fillRect/>
                    </a:stretch>
                  </pic:blipFill>
                  <pic:spPr bwMode="auto">
                    <a:xfrm>
                      <a:off x="0" y="0"/>
                      <a:ext cx="2178889" cy="2088561"/>
                    </a:xfrm>
                    <a:prstGeom prst="rect">
                      <a:avLst/>
                    </a:prstGeom>
                    <a:noFill/>
                    <a:ln w="9525">
                      <a:noFill/>
                      <a:miter lim="800000"/>
                      <a:headEnd/>
                      <a:tailEnd/>
                    </a:ln>
                  </pic:spPr>
                </pic:pic>
              </a:graphicData>
            </a:graphic>
          </wp:inline>
        </w:drawing>
      </w:r>
    </w:p>
    <w:p w:rsidR="009608AA" w:rsidRPr="00612C89" w:rsidRDefault="00DF5E3B" w:rsidP="007C1352">
      <w:pPr>
        <w:spacing w:line="204" w:lineRule="exact"/>
        <w:rPr>
          <w:rFonts w:cstheme="minorHAnsi"/>
          <w:sz w:val="18"/>
          <w:szCs w:val="18"/>
        </w:rPr>
      </w:pPr>
      <w:r>
        <w:rPr>
          <w:rFonts w:cstheme="minorHAnsi"/>
          <w:sz w:val="18"/>
          <w:szCs w:val="18"/>
        </w:rPr>
        <w:t>Figure 1</w:t>
      </w:r>
      <w:r w:rsidR="009608AA" w:rsidRPr="00612C89">
        <w:rPr>
          <w:rFonts w:cstheme="minorHAnsi"/>
          <w:sz w:val="18"/>
          <w:szCs w:val="18"/>
        </w:rPr>
        <w:t xml:space="preserve">. </w:t>
      </w:r>
      <w:r w:rsidR="00612C89" w:rsidRPr="00612C89">
        <w:rPr>
          <w:rFonts w:cstheme="minorHAnsi"/>
          <w:sz w:val="18"/>
          <w:szCs w:val="18"/>
        </w:rPr>
        <w:t xml:space="preserve">Strategies for </w:t>
      </w:r>
      <w:r>
        <w:rPr>
          <w:rFonts w:cstheme="minorHAnsi"/>
          <w:sz w:val="18"/>
          <w:szCs w:val="18"/>
        </w:rPr>
        <w:t xml:space="preserve">improving </w:t>
      </w:r>
      <w:r w:rsidR="00612C89" w:rsidRPr="00612C89">
        <w:rPr>
          <w:rFonts w:cstheme="minorHAnsi"/>
          <w:sz w:val="18"/>
          <w:szCs w:val="18"/>
        </w:rPr>
        <w:t>taxol production from tissue culture technology.</w:t>
      </w:r>
      <w:r w:rsidR="005973B9" w:rsidRPr="00612C89">
        <w:rPr>
          <w:rFonts w:cstheme="minorHAnsi"/>
          <w:sz w:val="18"/>
          <w:szCs w:val="18"/>
        </w:rPr>
        <w:br/>
      </w:r>
    </w:p>
    <w:p w:rsidR="005973B9" w:rsidRPr="007C1352" w:rsidRDefault="005973B9" w:rsidP="007C1352">
      <w:pPr>
        <w:spacing w:line="204" w:lineRule="exact"/>
        <w:jc w:val="both"/>
        <w:rPr>
          <w:rFonts w:asciiTheme="minorHAnsi" w:hAnsiTheme="minorHAnsi" w:cstheme="minorHAnsi"/>
          <w:b/>
          <w:sz w:val="18"/>
          <w:szCs w:val="18"/>
        </w:rPr>
      </w:pPr>
      <w:r w:rsidRPr="007C1352">
        <w:rPr>
          <w:rFonts w:asciiTheme="minorHAnsi" w:hAnsiTheme="minorHAnsi" w:cstheme="minorHAnsi"/>
          <w:b/>
          <w:sz w:val="18"/>
          <w:szCs w:val="18"/>
        </w:rPr>
        <w:t xml:space="preserve">Recent Publications </w:t>
      </w:r>
    </w:p>
    <w:p w:rsidR="007C1352" w:rsidRPr="00BD7590" w:rsidRDefault="00985EB7" w:rsidP="00BD7590">
      <w:pPr>
        <w:pStyle w:val="ListParagraph"/>
        <w:numPr>
          <w:ilvl w:val="0"/>
          <w:numId w:val="3"/>
        </w:numPr>
        <w:autoSpaceDE w:val="0"/>
        <w:autoSpaceDN w:val="0"/>
        <w:adjustRightInd w:val="0"/>
        <w:rPr>
          <w:rFonts w:asciiTheme="minorHAnsi" w:hAnsiTheme="minorHAnsi" w:cstheme="minorHAnsi"/>
          <w:sz w:val="18"/>
          <w:szCs w:val="18"/>
        </w:rPr>
      </w:pPr>
      <w:r w:rsidRPr="00BD7590">
        <w:rPr>
          <w:rFonts w:asciiTheme="minorHAnsi" w:hAnsiTheme="minorHAnsi" w:cstheme="minorHAnsi"/>
          <w:sz w:val="18"/>
          <w:szCs w:val="18"/>
        </w:rPr>
        <w:t>Vidal-Limon H, Sanchez-Muñoz R, Khojasteh A, Moyano E, Cusido R M, and Palazon J (2016) Taxus Cell Cultures, an Effective Biotechnological Tool to Enhance and Gain New Biosynthetic Insights into Taxane Production</w:t>
      </w:r>
      <w:r w:rsidR="007106AA" w:rsidRPr="00BD7590">
        <w:rPr>
          <w:rFonts w:asciiTheme="minorHAnsi" w:hAnsiTheme="minorHAnsi" w:cstheme="minorHAnsi"/>
          <w:sz w:val="18"/>
          <w:szCs w:val="18"/>
        </w:rPr>
        <w:t>.</w:t>
      </w:r>
      <w:r w:rsidR="007106AA" w:rsidRPr="00BD7590">
        <w:rPr>
          <w:rFonts w:asciiTheme="minorHAnsi" w:eastAsiaTheme="minorHAnsi" w:hAnsiTheme="minorHAnsi" w:cstheme="minorHAnsi"/>
          <w:sz w:val="18"/>
          <w:szCs w:val="18"/>
        </w:rPr>
        <w:t xml:space="preserve"> Bioprocessing of Plant </w:t>
      </w:r>
      <w:r w:rsidR="00EE5F7A" w:rsidRPr="00BD7590">
        <w:rPr>
          <w:rFonts w:asciiTheme="minorHAnsi" w:eastAsiaTheme="minorHAnsi" w:hAnsiTheme="minorHAnsi" w:cstheme="minorHAnsi"/>
          <w:sz w:val="18"/>
          <w:szCs w:val="18"/>
        </w:rPr>
        <w:t>in</w:t>
      </w:r>
      <w:r w:rsidR="007106AA" w:rsidRPr="00BD7590">
        <w:rPr>
          <w:rFonts w:asciiTheme="minorHAnsi" w:eastAsiaTheme="minorHAnsi" w:hAnsiTheme="minorHAnsi" w:cstheme="minorHAnsi"/>
          <w:sz w:val="18"/>
          <w:szCs w:val="18"/>
        </w:rPr>
        <w:t xml:space="preserve"> Vitro Systems.</w:t>
      </w:r>
      <w:r w:rsidR="00EE5F7A" w:rsidRPr="00BD7590">
        <w:rPr>
          <w:rFonts w:asciiTheme="minorHAnsi" w:eastAsiaTheme="minorHAnsi" w:hAnsiTheme="minorHAnsi" w:cstheme="minorHAnsi"/>
          <w:sz w:val="18"/>
          <w:szCs w:val="18"/>
        </w:rPr>
        <w:t xml:space="preserve"> 1-23</w:t>
      </w:r>
    </w:p>
    <w:p w:rsidR="00706EA1" w:rsidRPr="00BD7590" w:rsidRDefault="00CB6331"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hyperlink r:id="rId10" w:history="1">
        <w:r w:rsidR="00706EA1" w:rsidRPr="00BD7590">
          <w:rPr>
            <w:rStyle w:val="Hyperlink"/>
            <w:rFonts w:asciiTheme="minorHAnsi" w:hAnsiTheme="minorHAnsi" w:cstheme="minorHAnsi"/>
            <w:color w:val="auto"/>
            <w:sz w:val="18"/>
            <w:szCs w:val="18"/>
            <w:u w:val="none"/>
          </w:rPr>
          <w:t>Ochoa-Villarreal M</w:t>
        </w:r>
      </w:hyperlink>
      <w:r w:rsidR="00706EA1" w:rsidRPr="00BD7590">
        <w:rPr>
          <w:rFonts w:asciiTheme="minorHAnsi" w:hAnsiTheme="minorHAnsi" w:cstheme="minorHAnsi"/>
          <w:sz w:val="18"/>
          <w:szCs w:val="18"/>
        </w:rPr>
        <w:t xml:space="preserve">, </w:t>
      </w:r>
      <w:hyperlink r:id="rId11" w:history="1">
        <w:r w:rsidR="00706EA1" w:rsidRPr="00BD7590">
          <w:rPr>
            <w:rStyle w:val="Hyperlink"/>
            <w:rFonts w:asciiTheme="minorHAnsi" w:hAnsiTheme="minorHAnsi" w:cstheme="minorHAnsi"/>
            <w:color w:val="auto"/>
            <w:sz w:val="18"/>
            <w:szCs w:val="18"/>
            <w:u w:val="none"/>
          </w:rPr>
          <w:t>Howat S</w:t>
        </w:r>
      </w:hyperlink>
      <w:r w:rsidR="00706EA1" w:rsidRPr="00BD7590">
        <w:rPr>
          <w:rFonts w:asciiTheme="minorHAnsi" w:hAnsiTheme="minorHAnsi" w:cstheme="minorHAnsi"/>
          <w:sz w:val="18"/>
          <w:szCs w:val="18"/>
        </w:rPr>
        <w:t xml:space="preserve">, </w:t>
      </w:r>
      <w:hyperlink r:id="rId12" w:history="1">
        <w:r w:rsidR="00706EA1" w:rsidRPr="00BD7590">
          <w:rPr>
            <w:rStyle w:val="Hyperlink"/>
            <w:rFonts w:asciiTheme="minorHAnsi" w:hAnsiTheme="minorHAnsi" w:cstheme="minorHAnsi"/>
            <w:color w:val="auto"/>
            <w:sz w:val="18"/>
            <w:szCs w:val="18"/>
            <w:u w:val="none"/>
          </w:rPr>
          <w:t>Hong S</w:t>
        </w:r>
      </w:hyperlink>
      <w:r w:rsidR="00706EA1" w:rsidRPr="00BD7590">
        <w:rPr>
          <w:rFonts w:asciiTheme="minorHAnsi" w:hAnsiTheme="minorHAnsi" w:cstheme="minorHAnsi"/>
          <w:sz w:val="18"/>
          <w:szCs w:val="18"/>
        </w:rPr>
        <w:t xml:space="preserve">, </w:t>
      </w:r>
      <w:hyperlink r:id="rId13" w:history="1">
        <w:r w:rsidR="00706EA1" w:rsidRPr="00BD7590">
          <w:rPr>
            <w:rStyle w:val="Hyperlink"/>
            <w:rFonts w:asciiTheme="minorHAnsi" w:hAnsiTheme="minorHAnsi" w:cstheme="minorHAnsi"/>
            <w:color w:val="auto"/>
            <w:sz w:val="18"/>
            <w:szCs w:val="18"/>
            <w:u w:val="none"/>
          </w:rPr>
          <w:t>Jang M</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O</w:t>
        </w:r>
      </w:hyperlink>
      <w:r w:rsidR="00706EA1" w:rsidRPr="00BD7590">
        <w:rPr>
          <w:rFonts w:asciiTheme="minorHAnsi" w:hAnsiTheme="minorHAnsi" w:cstheme="minorHAnsi"/>
          <w:sz w:val="18"/>
          <w:szCs w:val="18"/>
        </w:rPr>
        <w:t xml:space="preserve">, </w:t>
      </w:r>
      <w:hyperlink r:id="rId14" w:history="1">
        <w:r w:rsidR="00706EA1" w:rsidRPr="00BD7590">
          <w:rPr>
            <w:rStyle w:val="Hyperlink"/>
            <w:rFonts w:asciiTheme="minorHAnsi" w:hAnsiTheme="minorHAnsi" w:cstheme="minorHAnsi"/>
            <w:color w:val="auto"/>
            <w:sz w:val="18"/>
            <w:szCs w:val="18"/>
            <w:u w:val="none"/>
          </w:rPr>
          <w:t>Jin Y</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W</w:t>
        </w:r>
      </w:hyperlink>
      <w:r w:rsidR="00706EA1" w:rsidRPr="00BD7590">
        <w:rPr>
          <w:rFonts w:asciiTheme="minorHAnsi" w:hAnsiTheme="minorHAnsi" w:cstheme="minorHAnsi"/>
          <w:sz w:val="18"/>
          <w:szCs w:val="18"/>
        </w:rPr>
        <w:t xml:space="preserve">, </w:t>
      </w:r>
      <w:hyperlink r:id="rId15" w:history="1">
        <w:r w:rsidR="00706EA1" w:rsidRPr="00BD7590">
          <w:rPr>
            <w:rStyle w:val="Hyperlink"/>
            <w:rFonts w:asciiTheme="minorHAnsi" w:hAnsiTheme="minorHAnsi" w:cstheme="minorHAnsi"/>
            <w:color w:val="auto"/>
            <w:sz w:val="18"/>
            <w:szCs w:val="18"/>
            <w:u w:val="none"/>
          </w:rPr>
          <w:t>Lee E</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K</w:t>
        </w:r>
      </w:hyperlink>
      <w:r w:rsidR="00706EA1" w:rsidRPr="00BD7590">
        <w:rPr>
          <w:rFonts w:asciiTheme="minorHAnsi" w:hAnsiTheme="minorHAnsi" w:cstheme="minorHAnsi"/>
          <w:sz w:val="18"/>
          <w:szCs w:val="18"/>
        </w:rPr>
        <w:t xml:space="preserve">, </w:t>
      </w:r>
      <w:hyperlink r:id="rId16" w:history="1">
        <w:r w:rsidR="00706EA1" w:rsidRPr="00BD7590">
          <w:rPr>
            <w:rStyle w:val="Hyperlink"/>
            <w:rFonts w:asciiTheme="minorHAnsi" w:hAnsiTheme="minorHAnsi" w:cstheme="minorHAnsi"/>
            <w:color w:val="auto"/>
            <w:sz w:val="18"/>
            <w:szCs w:val="18"/>
            <w:u w:val="none"/>
          </w:rPr>
          <w:t>Loake G</w:t>
        </w:r>
        <w:r w:rsidR="00BD7590" w:rsidRPr="00BD7590">
          <w:rPr>
            <w:rStyle w:val="Hyperlink"/>
            <w:rFonts w:asciiTheme="minorHAnsi" w:hAnsiTheme="minorHAnsi" w:cstheme="minorHAnsi"/>
            <w:color w:val="auto"/>
            <w:sz w:val="18"/>
            <w:szCs w:val="18"/>
            <w:u w:val="none"/>
          </w:rPr>
          <w:t xml:space="preserve"> </w:t>
        </w:r>
        <w:r w:rsidR="00706EA1" w:rsidRPr="00BD7590">
          <w:rPr>
            <w:rStyle w:val="Hyperlink"/>
            <w:rFonts w:asciiTheme="minorHAnsi" w:hAnsiTheme="minorHAnsi" w:cstheme="minorHAnsi"/>
            <w:color w:val="auto"/>
            <w:sz w:val="18"/>
            <w:szCs w:val="18"/>
            <w:u w:val="none"/>
          </w:rPr>
          <w:t>J</w:t>
        </w:r>
      </w:hyperlink>
      <w:r w:rsidR="00706EA1" w:rsidRPr="00BD7590">
        <w:rPr>
          <w:rFonts w:asciiTheme="minorHAnsi" w:eastAsiaTheme="minorHAnsi" w:hAnsiTheme="minorHAnsi" w:cstheme="minorHAnsi"/>
          <w:sz w:val="18"/>
          <w:szCs w:val="18"/>
        </w:rPr>
        <w:t xml:space="preserve"> </w:t>
      </w:r>
      <w:r w:rsidR="00BD7590" w:rsidRPr="00BD7590">
        <w:rPr>
          <w:rFonts w:asciiTheme="minorHAnsi" w:eastAsiaTheme="minorHAnsi" w:hAnsiTheme="minorHAnsi" w:cstheme="minorHAnsi"/>
          <w:sz w:val="18"/>
          <w:szCs w:val="18"/>
        </w:rPr>
        <w:t xml:space="preserve">(2016) Plant cell culture strategies for the production of natural products BMB </w:t>
      </w:r>
      <w:r w:rsidR="00BD7590" w:rsidRPr="00186450">
        <w:rPr>
          <w:rFonts w:asciiTheme="minorHAnsi" w:eastAsiaTheme="minorHAnsi" w:hAnsiTheme="minorHAnsi" w:cstheme="minorHAnsi"/>
          <w:sz w:val="18"/>
          <w:szCs w:val="18"/>
        </w:rPr>
        <w:t xml:space="preserve">reports. </w:t>
      </w:r>
      <w:r w:rsidR="00BD7590" w:rsidRPr="00186450">
        <w:rPr>
          <w:rFonts w:asciiTheme="minorHAnsi" w:eastAsiaTheme="minorHAnsi" w:hAnsiTheme="minorHAnsi" w:cstheme="minorHAnsi"/>
          <w:bCs/>
          <w:sz w:val="18"/>
          <w:szCs w:val="18"/>
        </w:rPr>
        <w:t>49(3): 149-158</w:t>
      </w:r>
    </w:p>
    <w:p w:rsidR="005973B9" w:rsidRPr="00BD7590" w:rsidRDefault="007A5681"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r w:rsidRPr="00BD7590">
        <w:rPr>
          <w:rFonts w:asciiTheme="minorHAnsi" w:eastAsiaTheme="minorHAnsi" w:hAnsiTheme="minorHAnsi" w:cstheme="minorHAnsi"/>
          <w:sz w:val="18"/>
          <w:szCs w:val="18"/>
        </w:rPr>
        <w:t xml:space="preserve">Wang S J, Wang H J,  Li T, Li C, Zhou Y J, Zhong X M (2015) The selection and stability analysis of stable and high Taxol-producing cell lines from </w:t>
      </w:r>
      <w:r w:rsidRPr="00BD7590">
        <w:rPr>
          <w:rFonts w:asciiTheme="minorHAnsi" w:eastAsiaTheme="minorHAnsi" w:hAnsiTheme="minorHAnsi" w:cstheme="minorHAnsi"/>
          <w:i/>
          <w:sz w:val="18"/>
          <w:szCs w:val="18"/>
        </w:rPr>
        <w:t>Taxus cuspidate</w:t>
      </w:r>
      <w:r w:rsidRPr="00BD7590">
        <w:rPr>
          <w:rFonts w:asciiTheme="minorHAnsi" w:eastAsiaTheme="minorHAnsi" w:hAnsiTheme="minorHAnsi" w:cstheme="minorHAnsi"/>
          <w:sz w:val="18"/>
          <w:szCs w:val="18"/>
        </w:rPr>
        <w:t xml:space="preserve">. </w:t>
      </w:r>
      <w:r w:rsidR="00EE5F7A" w:rsidRPr="00BD7590">
        <w:rPr>
          <w:rFonts w:asciiTheme="minorHAnsi" w:eastAsiaTheme="minorHAnsi" w:hAnsiTheme="minorHAnsi" w:cstheme="minorHAnsi"/>
          <w:sz w:val="18"/>
          <w:szCs w:val="18"/>
        </w:rPr>
        <w:t>Journal of Forestry Research</w:t>
      </w:r>
      <w:r w:rsidRPr="00BD7590">
        <w:rPr>
          <w:rFonts w:asciiTheme="minorHAnsi" w:eastAsiaTheme="minorHAnsi" w:hAnsiTheme="minorHAnsi" w:cstheme="minorHAnsi"/>
          <w:sz w:val="18"/>
          <w:szCs w:val="18"/>
        </w:rPr>
        <w:t>.</w:t>
      </w:r>
      <w:r w:rsidR="00EE5F7A" w:rsidRPr="00BD7590">
        <w:rPr>
          <w:rFonts w:asciiTheme="minorHAnsi" w:eastAsiaTheme="minorHAnsi" w:hAnsiTheme="minorHAnsi" w:cstheme="minorHAnsi"/>
          <w:sz w:val="18"/>
          <w:szCs w:val="18"/>
        </w:rPr>
        <w:t xml:space="preserve"> 1:1-7</w:t>
      </w:r>
      <w:r w:rsidR="00422101" w:rsidRPr="00BD7590">
        <w:rPr>
          <w:rFonts w:asciiTheme="minorHAnsi" w:eastAsiaTheme="minorHAnsi" w:hAnsiTheme="minorHAnsi" w:cstheme="minorHAnsi"/>
          <w:sz w:val="18"/>
          <w:szCs w:val="18"/>
        </w:rPr>
        <w:t xml:space="preserve"> </w:t>
      </w:r>
    </w:p>
    <w:p w:rsidR="00BD4379" w:rsidRPr="00BD7590" w:rsidRDefault="00BD4379"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pPr>
      <w:r w:rsidRPr="00BD7590">
        <w:rPr>
          <w:rFonts w:asciiTheme="minorHAnsi" w:eastAsiaTheme="minorHAnsi" w:hAnsiTheme="minorHAnsi" w:cstheme="minorHAnsi"/>
          <w:sz w:val="18"/>
          <w:szCs w:val="18"/>
        </w:rPr>
        <w:t>Li Y L, Huang S W, Zhang</w:t>
      </w:r>
      <w:r w:rsidR="00810332" w:rsidRPr="00BD7590">
        <w:rPr>
          <w:rFonts w:asciiTheme="minorHAnsi" w:eastAsiaTheme="minorHAnsi" w:hAnsiTheme="minorHAnsi" w:cstheme="minorHAnsi"/>
          <w:sz w:val="18"/>
          <w:szCs w:val="18"/>
        </w:rPr>
        <w:t xml:space="preserve"> J Y</w:t>
      </w:r>
      <w:r w:rsidRPr="00BD7590">
        <w:rPr>
          <w:rFonts w:asciiTheme="minorHAnsi" w:eastAsiaTheme="minorHAnsi" w:hAnsiTheme="minorHAnsi" w:cstheme="minorHAnsi"/>
          <w:sz w:val="18"/>
          <w:szCs w:val="18"/>
        </w:rPr>
        <w:t>, Bu</w:t>
      </w:r>
      <w:r w:rsidR="00810332" w:rsidRPr="00BD7590">
        <w:rPr>
          <w:rFonts w:asciiTheme="minorHAnsi" w:eastAsiaTheme="minorHAnsi" w:hAnsiTheme="minorHAnsi" w:cstheme="minorHAnsi"/>
          <w:sz w:val="18"/>
          <w:szCs w:val="18"/>
        </w:rPr>
        <w:t xml:space="preserve"> F J, </w:t>
      </w:r>
      <w:r w:rsidRPr="00BD7590">
        <w:rPr>
          <w:rFonts w:asciiTheme="minorHAnsi" w:eastAsiaTheme="minorHAnsi" w:hAnsiTheme="minorHAnsi" w:cstheme="minorHAnsi"/>
          <w:sz w:val="18"/>
          <w:szCs w:val="18"/>
        </w:rPr>
        <w:t>Lin</w:t>
      </w:r>
      <w:r w:rsidR="00810332" w:rsidRPr="00BD7590">
        <w:rPr>
          <w:rFonts w:asciiTheme="minorHAnsi" w:eastAsiaTheme="minorHAnsi" w:hAnsiTheme="minorHAnsi" w:cstheme="minorHAnsi"/>
          <w:sz w:val="18"/>
          <w:szCs w:val="18"/>
        </w:rPr>
        <w:t xml:space="preserve"> T</w:t>
      </w:r>
      <w:r w:rsidRPr="00BD7590">
        <w:rPr>
          <w:rFonts w:asciiTheme="minorHAnsi" w:eastAsiaTheme="minorHAnsi" w:hAnsiTheme="minorHAnsi" w:cstheme="minorHAnsi"/>
          <w:sz w:val="18"/>
          <w:szCs w:val="18"/>
        </w:rPr>
        <w:t>, Zhang</w:t>
      </w:r>
      <w:r w:rsidR="00810332" w:rsidRPr="00BD7590">
        <w:rPr>
          <w:rFonts w:asciiTheme="minorHAnsi" w:eastAsiaTheme="minorHAnsi" w:hAnsiTheme="minorHAnsi" w:cstheme="minorHAnsi"/>
          <w:sz w:val="18"/>
          <w:szCs w:val="18"/>
        </w:rPr>
        <w:t xml:space="preserve"> Z H</w:t>
      </w:r>
      <w:r w:rsidR="00706EA1" w:rsidRPr="00BD7590">
        <w:rPr>
          <w:rFonts w:asciiTheme="minorHAnsi" w:eastAsiaTheme="minorHAnsi" w:hAnsiTheme="minorHAnsi" w:cstheme="minorHAnsi"/>
          <w:sz w:val="18"/>
          <w:szCs w:val="18"/>
        </w:rPr>
        <w:t>, Xiong X Y</w:t>
      </w:r>
      <w:r w:rsidR="00810332" w:rsidRPr="00BD7590">
        <w:rPr>
          <w:rFonts w:asciiTheme="minorHAnsi" w:eastAsiaTheme="minorHAnsi" w:hAnsiTheme="minorHAnsi" w:cstheme="minorHAnsi"/>
          <w:sz w:val="18"/>
          <w:szCs w:val="18"/>
        </w:rPr>
        <w:t xml:space="preserve"> (2016) A protocol of homozygous haploid callus induction from endosperm of </w:t>
      </w:r>
      <w:r w:rsidR="00810332" w:rsidRPr="00BD7590">
        <w:rPr>
          <w:rFonts w:asciiTheme="minorHAnsi" w:eastAsiaTheme="minorHAnsi" w:hAnsiTheme="minorHAnsi" w:cstheme="minorHAnsi"/>
          <w:i/>
          <w:iCs/>
          <w:sz w:val="18"/>
          <w:szCs w:val="18"/>
        </w:rPr>
        <w:t>Taxus</w:t>
      </w:r>
      <w:r w:rsidR="00810332" w:rsidRPr="00BD7590">
        <w:rPr>
          <w:rFonts w:asciiTheme="minorHAnsi" w:eastAsiaTheme="minorHAnsi" w:hAnsiTheme="minorHAnsi" w:cstheme="minorHAnsi"/>
          <w:sz w:val="18"/>
          <w:szCs w:val="18"/>
        </w:rPr>
        <w:t xml:space="preserve"> </w:t>
      </w:r>
      <w:r w:rsidR="00810332" w:rsidRPr="00BD7590">
        <w:rPr>
          <w:rFonts w:asciiTheme="minorHAnsi" w:eastAsiaTheme="minorHAnsi" w:hAnsiTheme="minorHAnsi" w:cstheme="minorHAnsi"/>
          <w:i/>
          <w:iCs/>
          <w:sz w:val="18"/>
          <w:szCs w:val="18"/>
        </w:rPr>
        <w:t xml:space="preserve">chinensis </w:t>
      </w:r>
      <w:r w:rsidR="00810332" w:rsidRPr="00BD7590">
        <w:rPr>
          <w:rFonts w:asciiTheme="minorHAnsi" w:eastAsiaTheme="minorHAnsi" w:hAnsiTheme="minorHAnsi" w:cstheme="minorHAnsi"/>
          <w:sz w:val="18"/>
          <w:szCs w:val="18"/>
        </w:rPr>
        <w:t xml:space="preserve">Rehd. var. </w:t>
      </w:r>
      <w:r w:rsidR="00810332" w:rsidRPr="00BD7590">
        <w:rPr>
          <w:rFonts w:asciiTheme="minorHAnsi" w:eastAsiaTheme="minorHAnsi" w:hAnsiTheme="minorHAnsi" w:cstheme="minorHAnsi"/>
          <w:i/>
          <w:iCs/>
          <w:sz w:val="18"/>
          <w:szCs w:val="18"/>
        </w:rPr>
        <w:t xml:space="preserve">mairei. </w:t>
      </w:r>
      <w:r w:rsidR="00810332" w:rsidRPr="00D212C3">
        <w:rPr>
          <w:rFonts w:asciiTheme="minorHAnsi" w:eastAsiaTheme="minorHAnsi" w:hAnsiTheme="minorHAnsi" w:cstheme="minorHAnsi"/>
          <w:iCs/>
          <w:sz w:val="18"/>
          <w:szCs w:val="18"/>
        </w:rPr>
        <w:t>SpringerPlus</w:t>
      </w:r>
      <w:r w:rsidR="00810332" w:rsidRPr="00BD7590">
        <w:rPr>
          <w:rFonts w:asciiTheme="minorHAnsi" w:eastAsiaTheme="minorHAnsi" w:hAnsiTheme="minorHAnsi" w:cstheme="minorHAnsi"/>
          <w:i/>
          <w:iCs/>
          <w:sz w:val="18"/>
          <w:szCs w:val="18"/>
        </w:rPr>
        <w:t xml:space="preserve"> </w:t>
      </w:r>
      <w:r w:rsidR="00810332" w:rsidRPr="00D212C3">
        <w:rPr>
          <w:rFonts w:asciiTheme="minorHAnsi" w:eastAsiaTheme="minorHAnsi" w:hAnsiTheme="minorHAnsi" w:cstheme="minorHAnsi"/>
          <w:iCs/>
          <w:sz w:val="18"/>
          <w:szCs w:val="18"/>
        </w:rPr>
        <w:t>5</w:t>
      </w:r>
      <w:r w:rsidR="00706EA1" w:rsidRPr="00D212C3">
        <w:rPr>
          <w:rFonts w:asciiTheme="minorHAnsi" w:eastAsiaTheme="minorHAnsi" w:hAnsiTheme="minorHAnsi" w:cstheme="minorHAnsi"/>
          <w:iCs/>
          <w:sz w:val="18"/>
          <w:szCs w:val="18"/>
        </w:rPr>
        <w:t>(1)</w:t>
      </w:r>
      <w:r w:rsidR="00810332" w:rsidRPr="00D212C3">
        <w:rPr>
          <w:rFonts w:asciiTheme="minorHAnsi" w:eastAsiaTheme="minorHAnsi" w:hAnsiTheme="minorHAnsi" w:cstheme="minorHAnsi"/>
          <w:iCs/>
          <w:sz w:val="18"/>
          <w:szCs w:val="18"/>
        </w:rPr>
        <w:t>:659</w:t>
      </w:r>
    </w:p>
    <w:p w:rsidR="00AE3E37" w:rsidRPr="00BD7590" w:rsidRDefault="007C1352" w:rsidP="00BD7590">
      <w:pPr>
        <w:pStyle w:val="ListParagraph"/>
        <w:widowControl/>
        <w:numPr>
          <w:ilvl w:val="0"/>
          <w:numId w:val="3"/>
        </w:numPr>
        <w:autoSpaceDE w:val="0"/>
        <w:autoSpaceDN w:val="0"/>
        <w:adjustRightInd w:val="0"/>
        <w:rPr>
          <w:rFonts w:asciiTheme="minorHAnsi" w:eastAsiaTheme="minorHAnsi" w:hAnsiTheme="minorHAnsi" w:cstheme="minorHAnsi"/>
          <w:sz w:val="18"/>
          <w:szCs w:val="18"/>
        </w:rPr>
        <w:sectPr w:rsidR="00AE3E37" w:rsidRPr="00BD7590">
          <w:type w:val="continuous"/>
          <w:pgSz w:w="11910" w:h="16840"/>
          <w:pgMar w:top="1740" w:right="600" w:bottom="840" w:left="620" w:header="720" w:footer="720" w:gutter="0"/>
          <w:cols w:num="2" w:space="720" w:equalWidth="0">
            <w:col w:w="5214" w:space="138"/>
            <w:col w:w="5338"/>
          </w:cols>
        </w:sectPr>
      </w:pPr>
      <w:r w:rsidRPr="00BD7590">
        <w:rPr>
          <w:rFonts w:asciiTheme="minorHAnsi" w:eastAsiaTheme="minorHAnsi" w:hAnsiTheme="minorHAnsi" w:cstheme="minorHAnsi"/>
          <w:sz w:val="18"/>
          <w:szCs w:val="18"/>
        </w:rPr>
        <w:t xml:space="preserve">Wang Z J, Zhang W, Zhang J W, Guo M J. Zhuang Y P (2016) Optimization of a broth conductivity controlling strategy directed by an online viable biomass sensor for enhancing Taxus cell growth rate and Taxol productivity. RSC Advances. </w:t>
      </w:r>
      <w:r w:rsidR="00BD7590" w:rsidRPr="00BD7590">
        <w:rPr>
          <w:rFonts w:asciiTheme="minorHAnsi" w:eastAsiaTheme="minorHAnsi" w:hAnsiTheme="minorHAnsi" w:cstheme="minorHAnsi"/>
          <w:sz w:val="18"/>
          <w:szCs w:val="18"/>
        </w:rPr>
        <w:t>47 (</w:t>
      </w:r>
      <w:r w:rsidRPr="00BD7590">
        <w:rPr>
          <w:rFonts w:asciiTheme="minorHAnsi" w:eastAsiaTheme="minorHAnsi" w:hAnsiTheme="minorHAnsi" w:cstheme="minorHAnsi"/>
          <w:sz w:val="18"/>
          <w:szCs w:val="18"/>
        </w:rPr>
        <w:t>6</w:t>
      </w:r>
      <w:r w:rsidR="00BD7590" w:rsidRPr="00BD7590">
        <w:rPr>
          <w:rFonts w:asciiTheme="minorHAnsi" w:eastAsiaTheme="minorHAnsi" w:hAnsiTheme="minorHAnsi" w:cstheme="minorHAnsi"/>
          <w:sz w:val="18"/>
          <w:szCs w:val="18"/>
        </w:rPr>
        <w:t>)</w:t>
      </w:r>
      <w:r w:rsidRPr="00BD7590">
        <w:rPr>
          <w:rFonts w:asciiTheme="minorHAnsi" w:eastAsiaTheme="minorHAnsi" w:hAnsiTheme="minorHAnsi" w:cstheme="minorHAnsi"/>
          <w:sz w:val="18"/>
          <w:szCs w:val="18"/>
        </w:rPr>
        <w:t>: 40631–40640</w:t>
      </w:r>
    </w:p>
    <w:p w:rsidR="00AE3E37" w:rsidRDefault="00AE3E37">
      <w:pPr>
        <w:pStyle w:val="BodyText"/>
        <w:rPr>
          <w:rFonts w:ascii="Calibri"/>
          <w:sz w:val="20"/>
        </w:rPr>
      </w:pPr>
    </w:p>
    <w:p w:rsidR="00AE3E37" w:rsidRDefault="00CB6331">
      <w:pPr>
        <w:pStyle w:val="BodyText"/>
        <w:spacing w:line="40" w:lineRule="exact"/>
        <w:ind w:left="2202"/>
        <w:rPr>
          <w:rFonts w:ascii="Calibri"/>
          <w:sz w:val="4"/>
        </w:rPr>
      </w:pPr>
      <w:r w:rsidRPr="00CB6331">
        <w:rPr>
          <w:rFonts w:ascii="Calibri"/>
          <w:noProof/>
          <w:sz w:val="4"/>
          <w:lang w:val="en-IN" w:eastAsia="en-IN"/>
        </w:rPr>
      </w:r>
      <w:r w:rsidRPr="00CB633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3EAB" w:rsidP="00404E5B">
      <w:pPr>
        <w:spacing w:before="92"/>
        <w:ind w:right="4234"/>
        <w:rPr>
          <w:rFonts w:ascii="Arial"/>
        </w:rPr>
      </w:pPr>
      <w:r>
        <w:rPr>
          <w:noProof/>
          <w:lang w:eastAsia="zh-CN"/>
        </w:rPr>
        <w:drawing>
          <wp:inline distT="0" distB="0" distL="0" distR="0">
            <wp:extent cx="536905" cy="648203"/>
            <wp:effectExtent l="19050" t="0" r="0" b="0"/>
            <wp:docPr id="3" name="Picture 3" descr="E:\Documents\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uments\Picture.jpg"/>
                    <pic:cNvPicPr>
                      <a:picLocks noChangeAspect="1" noChangeArrowheads="1"/>
                    </pic:cNvPicPr>
                  </pic:nvPicPr>
                  <pic:blipFill>
                    <a:blip r:embed="rId17" cstate="print"/>
                    <a:srcRect/>
                    <a:stretch>
                      <a:fillRect/>
                    </a:stretch>
                  </pic:blipFill>
                  <pic:spPr bwMode="auto">
                    <a:xfrm>
                      <a:off x="0" y="0"/>
                      <a:ext cx="540468" cy="652505"/>
                    </a:xfrm>
                    <a:prstGeom prst="rect">
                      <a:avLst/>
                    </a:prstGeom>
                    <a:noFill/>
                    <a:ln w="9525">
                      <a:noFill/>
                      <a:miter lim="800000"/>
                      <a:headEnd/>
                      <a:tailEnd/>
                    </a:ln>
                  </pic:spPr>
                </pic:pic>
              </a:graphicData>
            </a:graphic>
          </wp:inline>
        </w:drawing>
      </w:r>
      <w:r w:rsidR="00A9710C" w:rsidRPr="00C5593E">
        <w:rPr>
          <w:rFonts w:ascii="Arial"/>
        </w:rPr>
        <w:t>Biography</w:t>
      </w:r>
      <w:r w:rsidR="00404E5B">
        <w:rPr>
          <w:rFonts w:ascii="Arial"/>
          <w:color w:val="BF5A14"/>
        </w:rPr>
        <w:t xml:space="preserve"> </w:t>
      </w:r>
    </w:p>
    <w:p w:rsidR="00AE3E37" w:rsidRPr="00EE7291" w:rsidRDefault="00221C80">
      <w:pPr>
        <w:spacing w:before="41" w:line="154" w:lineRule="exact"/>
        <w:ind w:left="213" w:right="231"/>
        <w:jc w:val="both"/>
        <w:rPr>
          <w:rFonts w:ascii="Arial" w:hAnsi="Arial" w:cs="Arial"/>
          <w:sz w:val="14"/>
          <w:szCs w:val="14"/>
        </w:rPr>
      </w:pPr>
      <w:r w:rsidRPr="00221C80">
        <w:rPr>
          <w:rFonts w:ascii="Arial" w:hAnsi="Arial" w:cs="Arial"/>
          <w:sz w:val="14"/>
          <w:szCs w:val="14"/>
        </w:rPr>
        <w:t>Samavia mubeen is doing her PhD from Sun Yat-sen University Guangzhou China. She has completed her master's from Pakistan with major in genome and genetics.  Now she is working on Taxus plant which is popular due</w:t>
      </w:r>
      <w:r w:rsidR="0015617A">
        <w:rPr>
          <w:rFonts w:ascii="Arial" w:hAnsi="Arial" w:cs="Arial"/>
          <w:sz w:val="14"/>
          <w:szCs w:val="14"/>
        </w:rPr>
        <w:t xml:space="preserve"> to its chemotherapeutic agent t</w:t>
      </w:r>
      <w:r w:rsidRPr="00221C80">
        <w:rPr>
          <w:rFonts w:ascii="Arial" w:hAnsi="Arial" w:cs="Arial"/>
          <w:sz w:val="14"/>
          <w:szCs w:val="14"/>
        </w:rPr>
        <w:t>axol. Her findings will help to understand the regulation of genes involved in paclitaxel biosynthesis; second, to look at the correlation between gene expression and taxane metabolites. By molecular cloning and transformation of final steps gene of</w:t>
      </w:r>
      <w:r w:rsidR="0015617A">
        <w:rPr>
          <w:rFonts w:ascii="Arial" w:hAnsi="Arial" w:cs="Arial"/>
          <w:sz w:val="14"/>
          <w:szCs w:val="14"/>
        </w:rPr>
        <w:t xml:space="preserve"> taxol biosynthesis pathway in t</w:t>
      </w:r>
      <w:r w:rsidRPr="00221C80">
        <w:rPr>
          <w:rFonts w:ascii="Arial" w:hAnsi="Arial" w:cs="Arial"/>
          <w:sz w:val="14"/>
          <w:szCs w:val="14"/>
        </w:rPr>
        <w:t xml:space="preserve">axus cell culture, </w:t>
      </w:r>
      <w:r w:rsidR="004108A6">
        <w:rPr>
          <w:rFonts w:ascii="Arial" w:hAnsi="Arial" w:cs="Arial"/>
          <w:sz w:val="14"/>
          <w:szCs w:val="14"/>
        </w:rPr>
        <w:t xml:space="preserve">her results </w:t>
      </w:r>
      <w:r w:rsidRPr="00221C80">
        <w:rPr>
          <w:rFonts w:ascii="Arial" w:hAnsi="Arial" w:cs="Arial"/>
          <w:sz w:val="14"/>
          <w:szCs w:val="14"/>
        </w:rPr>
        <w:t>will help to establish a platform technology for future metabolic engineering approaches aimed at the production of taxoids in taxus and ot</w:t>
      </w:r>
      <w:r>
        <w:rPr>
          <w:rFonts w:ascii="Arial" w:hAnsi="Arial" w:cs="Arial"/>
          <w:sz w:val="14"/>
          <w:szCs w:val="14"/>
        </w:rPr>
        <w:t>he</w:t>
      </w:r>
      <w:r w:rsidR="0015617A">
        <w:rPr>
          <w:rFonts w:ascii="Arial" w:hAnsi="Arial" w:cs="Arial"/>
          <w:sz w:val="14"/>
          <w:szCs w:val="14"/>
        </w:rPr>
        <w:t>r than t</w:t>
      </w:r>
      <w:r>
        <w:rPr>
          <w:rFonts w:ascii="Arial" w:hAnsi="Arial" w:cs="Arial"/>
          <w:sz w:val="14"/>
          <w:szCs w:val="14"/>
        </w:rPr>
        <w:t>axus</w:t>
      </w:r>
      <w:r w:rsidR="004108A6">
        <w:rPr>
          <w:rFonts w:ascii="Arial" w:hAnsi="Arial" w:cs="Arial"/>
          <w:sz w:val="14"/>
          <w:szCs w:val="14"/>
        </w:rPr>
        <w:t xml:space="preserve"> </w:t>
      </w:r>
      <w:r w:rsidR="004108A6" w:rsidRPr="00221C80">
        <w:rPr>
          <w:rFonts w:ascii="Arial" w:hAnsi="Arial" w:cs="Arial"/>
          <w:sz w:val="14"/>
          <w:szCs w:val="14"/>
        </w:rPr>
        <w:t>plants</w:t>
      </w:r>
      <w:r w:rsidR="00EE7291" w:rsidRPr="00EE7291">
        <w:rPr>
          <w:rFonts w:ascii="Arial" w:hAnsi="Arial" w:cs="Arial"/>
          <w:sz w:val="14"/>
          <w:szCs w:val="14"/>
        </w:rPr>
        <w:t>.</w:t>
      </w:r>
      <w:r w:rsidR="00A9710C" w:rsidRPr="00EE7291">
        <w:rPr>
          <w:rFonts w:ascii="Arial" w:hAnsi="Arial" w:cs="Arial"/>
          <w:sz w:val="14"/>
          <w:szCs w:val="14"/>
        </w:rPr>
        <w:t xml:space="preserve"> </w:t>
      </w:r>
    </w:p>
    <w:p w:rsidR="00AE3E37" w:rsidRDefault="00A9710C" w:rsidP="006E24E9">
      <w:pPr>
        <w:spacing w:before="62"/>
        <w:ind w:left="4217" w:right="4235" w:firstLine="103"/>
        <w:jc w:val="center"/>
        <w:rPr>
          <w:rStyle w:val="Hyperlink"/>
          <w:rFonts w:ascii="Arial"/>
          <w:sz w:val="14"/>
        </w:rPr>
      </w:pPr>
      <w:r>
        <w:rPr>
          <w:rFonts w:ascii="Arial"/>
          <w:sz w:val="14"/>
        </w:rPr>
        <w:t xml:space="preserve">Email: </w:t>
      </w:r>
      <w:hyperlink r:id="rId18" w:history="1">
        <w:r w:rsidR="00453EAB" w:rsidRPr="00161D08">
          <w:rPr>
            <w:rStyle w:val="Hyperlink"/>
            <w:rFonts w:ascii="Arial"/>
            <w:sz w:val="14"/>
          </w:rPr>
          <w:t>2917997949@qq.com</w:t>
        </w:r>
      </w:hyperlink>
    </w:p>
    <w:p w:rsidR="00027AB5" w:rsidRDefault="00027AB5" w:rsidP="00027AB5">
      <w:pPr>
        <w:spacing w:before="62"/>
        <w:ind w:right="4235"/>
        <w:rPr>
          <w:rFonts w:ascii="Arial"/>
          <w:sz w:val="14"/>
        </w:rPr>
      </w:pPr>
      <w:r w:rsidRPr="00027AB5">
        <w:rPr>
          <w:rFonts w:ascii="Arial"/>
          <w:sz w:val="14"/>
        </w:rPr>
        <w:t>Contact number</w:t>
      </w:r>
      <w:r w:rsidR="00453EAB" w:rsidRPr="00027AB5">
        <w:rPr>
          <w:rFonts w:ascii="Arial"/>
          <w:sz w:val="14"/>
        </w:rPr>
        <w:t>:</w:t>
      </w:r>
      <w:r w:rsidR="00453EAB">
        <w:rPr>
          <w:rFonts w:ascii="Arial"/>
          <w:sz w:val="14"/>
        </w:rPr>
        <w:t xml:space="preserve"> +8615521279087</w:t>
      </w:r>
    </w:p>
    <w:p w:rsidR="00AE3E37" w:rsidRDefault="00CB6331">
      <w:pPr>
        <w:pStyle w:val="BodyText"/>
        <w:spacing w:before="2"/>
        <w:rPr>
          <w:rFonts w:ascii="Arial"/>
          <w:sz w:val="19"/>
        </w:rPr>
      </w:pPr>
      <w:r w:rsidRPr="00CB633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D212C3" w:rsidRDefault="00D212C3" w:rsidP="00D212C3">
      <w:pPr>
        <w:spacing w:before="39"/>
        <w:rPr>
          <w:rFonts w:ascii="Minion Pro"/>
          <w:b/>
          <w:sz w:val="20"/>
        </w:rPr>
        <w:sectPr w:rsidR="00AE3E37" w:rsidRPr="00D212C3">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F03" w:rsidRDefault="00D93F03">
      <w:r>
        <w:separator/>
      </w:r>
    </w:p>
  </w:endnote>
  <w:endnote w:type="continuationSeparator" w:id="1">
    <w:p w:rsidR="00D93F03" w:rsidRDefault="00D93F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6331">
    <w:pPr>
      <w:pStyle w:val="BodyText"/>
      <w:spacing w:line="14" w:lineRule="auto"/>
      <w:rPr>
        <w:sz w:val="20"/>
      </w:rPr>
    </w:pPr>
    <w:r w:rsidRPr="00CB633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B633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B633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F03" w:rsidRDefault="00D93F03">
      <w:r>
        <w:separator/>
      </w:r>
    </w:p>
  </w:footnote>
  <w:footnote w:type="continuationSeparator" w:id="1">
    <w:p w:rsidR="00D93F03" w:rsidRDefault="00D93F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B6331">
    <w:pPr>
      <w:pStyle w:val="BodyText"/>
      <w:spacing w:line="14" w:lineRule="auto"/>
      <w:rPr>
        <w:sz w:val="20"/>
      </w:rPr>
    </w:pPr>
    <w:r w:rsidRPr="00CB633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B633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5C553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9D21F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C434C6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nsid w:val="64E200D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0"/>
    <w:footnote w:id="1"/>
  </w:footnotePr>
  <w:endnotePr>
    <w:endnote w:id="0"/>
    <w:endnote w:id="1"/>
  </w:endnotePr>
  <w:compat>
    <w:ulTrailSpace/>
  </w:compat>
  <w:rsids>
    <w:rsidRoot w:val="00AE3E37"/>
    <w:rsid w:val="00027AB5"/>
    <w:rsid w:val="000A4C4C"/>
    <w:rsid w:val="000E2911"/>
    <w:rsid w:val="001263DF"/>
    <w:rsid w:val="00145DF8"/>
    <w:rsid w:val="0015617A"/>
    <w:rsid w:val="00186450"/>
    <w:rsid w:val="00214446"/>
    <w:rsid w:val="00221C80"/>
    <w:rsid w:val="002864DF"/>
    <w:rsid w:val="00292ED9"/>
    <w:rsid w:val="003F3C74"/>
    <w:rsid w:val="00404E5B"/>
    <w:rsid w:val="004108A6"/>
    <w:rsid w:val="00414F7B"/>
    <w:rsid w:val="00422101"/>
    <w:rsid w:val="004355DC"/>
    <w:rsid w:val="00453EAB"/>
    <w:rsid w:val="004749B4"/>
    <w:rsid w:val="00494130"/>
    <w:rsid w:val="004E13CA"/>
    <w:rsid w:val="004F3523"/>
    <w:rsid w:val="00581FA4"/>
    <w:rsid w:val="005973B9"/>
    <w:rsid w:val="005B3A56"/>
    <w:rsid w:val="005C1933"/>
    <w:rsid w:val="005F1F5D"/>
    <w:rsid w:val="006060CE"/>
    <w:rsid w:val="00612C89"/>
    <w:rsid w:val="00615AA3"/>
    <w:rsid w:val="0063497F"/>
    <w:rsid w:val="00664A15"/>
    <w:rsid w:val="006E24E9"/>
    <w:rsid w:val="00706EA1"/>
    <w:rsid w:val="007106AA"/>
    <w:rsid w:val="007536F8"/>
    <w:rsid w:val="00766E87"/>
    <w:rsid w:val="0078071F"/>
    <w:rsid w:val="007A5681"/>
    <w:rsid w:val="007C1352"/>
    <w:rsid w:val="00810332"/>
    <w:rsid w:val="00873DF0"/>
    <w:rsid w:val="008756E6"/>
    <w:rsid w:val="00881AFC"/>
    <w:rsid w:val="008C3C8E"/>
    <w:rsid w:val="00905385"/>
    <w:rsid w:val="00945C75"/>
    <w:rsid w:val="009608AA"/>
    <w:rsid w:val="00985EB7"/>
    <w:rsid w:val="009B2D44"/>
    <w:rsid w:val="009C59B8"/>
    <w:rsid w:val="00A07E82"/>
    <w:rsid w:val="00A9710C"/>
    <w:rsid w:val="00AE3E37"/>
    <w:rsid w:val="00B21A57"/>
    <w:rsid w:val="00BA2C08"/>
    <w:rsid w:val="00BD4379"/>
    <w:rsid w:val="00BD7590"/>
    <w:rsid w:val="00BF269A"/>
    <w:rsid w:val="00C33602"/>
    <w:rsid w:val="00C5593E"/>
    <w:rsid w:val="00C626E1"/>
    <w:rsid w:val="00CB6331"/>
    <w:rsid w:val="00CD6F55"/>
    <w:rsid w:val="00CF0AF6"/>
    <w:rsid w:val="00D212C3"/>
    <w:rsid w:val="00D93F03"/>
    <w:rsid w:val="00DE3104"/>
    <w:rsid w:val="00DF5E3B"/>
    <w:rsid w:val="00E049A2"/>
    <w:rsid w:val="00E05BFB"/>
    <w:rsid w:val="00E25C2A"/>
    <w:rsid w:val="00E8516C"/>
    <w:rsid w:val="00EE5F7A"/>
    <w:rsid w:val="00EE7291"/>
    <w:rsid w:val="00F72EEA"/>
    <w:rsid w:val="00F84CAE"/>
    <w:rsid w:val="00FC3C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7A5681"/>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Jang%20MO%5BAuthor%5D&amp;cauthor=true&amp;cauthor_uid=26698871" TargetMode="External"/><Relationship Id="rId18" Type="http://schemas.openxmlformats.org/officeDocument/2006/relationships/hyperlink" Target="mailto:2917997949@qq.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yperlink" Target="https://www.ncbi.nlm.nih.gov/pubmed/?term=Hong%20S%5BAuthor%5D&amp;cauthor=true&amp;cauthor_uid=26698871"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Loake%20GJ%5BAuthor%5D&amp;cauthor=true&amp;cauthor_uid=2669887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Howat%20S%5BAuthor%5D&amp;cauthor=true&amp;cauthor_uid=26698871" TargetMode="External"/><Relationship Id="rId5" Type="http://schemas.openxmlformats.org/officeDocument/2006/relationships/footnotes" Target="footnotes.xml"/><Relationship Id="rId15" Type="http://schemas.openxmlformats.org/officeDocument/2006/relationships/hyperlink" Target="https://www.ncbi.nlm.nih.gov/pubmed/?term=Lee%20EK%5BAuthor%5D&amp;cauthor=true&amp;cauthor_uid=26698871" TargetMode="External"/><Relationship Id="rId10" Type="http://schemas.openxmlformats.org/officeDocument/2006/relationships/hyperlink" Target="https://www.ncbi.nlm.nih.gov/pubmed/?term=Ochoa-Villarreal%20M%5BAuthor%5D&amp;cauthor=true&amp;cauthor_uid=2669887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term=Jin%20YW%5BAuthor%5D&amp;cauthor=true&amp;cauthor_uid=2669887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714</Words>
  <Characters>4071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31</cp:revision>
  <dcterms:created xsi:type="dcterms:W3CDTF">2016-10-21T05:34:00Z</dcterms:created>
  <dcterms:modified xsi:type="dcterms:W3CDTF">2017-11-20T11:09:00Z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