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2FB" w:rsidRDefault="003112FB" w:rsidP="00267B5B">
      <w:pPr>
        <w:pStyle w:val="Heading1"/>
        <w:spacing w:before="170"/>
        <w:ind w:left="0"/>
        <w:jc w:val="both"/>
        <w:rPr>
          <w:color w:val="337AB7"/>
        </w:rPr>
      </w:pPr>
      <w:r>
        <w:rPr>
          <w:color w:val="337AB7"/>
        </w:rPr>
        <w:t xml:space="preserve">A Bioequivalence Study of Two </w:t>
      </w:r>
      <w:proofErr w:type="spellStart"/>
      <w:r>
        <w:rPr>
          <w:color w:val="337AB7"/>
        </w:rPr>
        <w:t>Memantine</w:t>
      </w:r>
      <w:proofErr w:type="spellEnd"/>
      <w:r>
        <w:rPr>
          <w:color w:val="337AB7"/>
        </w:rPr>
        <w:t xml:space="preserve"> Hydrochloride Film Coated Tablets Formulations Assessed in Healthy Indonesian Subjects</w:t>
      </w:r>
    </w:p>
    <w:p w:rsidR="003112FB" w:rsidRDefault="003112FB" w:rsidP="003112FB">
      <w:pPr>
        <w:pStyle w:val="BodyText"/>
        <w:spacing w:before="73" w:line="198" w:lineRule="exact"/>
        <w:ind w:left="100" w:right="5303"/>
        <w:rPr>
          <w:rFonts w:ascii="Arial"/>
        </w:rPr>
      </w:pPr>
      <w:proofErr w:type="spellStart"/>
      <w:r w:rsidRPr="003112FB">
        <w:rPr>
          <w:rFonts w:ascii="Arial"/>
        </w:rPr>
        <w:t>Yahdiana</w:t>
      </w:r>
      <w:proofErr w:type="spellEnd"/>
      <w:r w:rsidRPr="003112FB">
        <w:rPr>
          <w:rFonts w:ascii="Arial"/>
        </w:rPr>
        <w:t xml:space="preserve"> Harahap</w:t>
      </w:r>
      <w:r w:rsidRPr="003112FB">
        <w:rPr>
          <w:rFonts w:ascii="Arial"/>
          <w:vertAlign w:val="superscript"/>
        </w:rPr>
        <w:t>1</w:t>
      </w:r>
      <w:r w:rsidRPr="003112FB">
        <w:rPr>
          <w:rFonts w:ascii="Arial"/>
        </w:rPr>
        <w:t>, Budi Prasaja</w:t>
      </w:r>
      <w:r w:rsidRPr="003112FB">
        <w:rPr>
          <w:rFonts w:ascii="Arial"/>
          <w:vertAlign w:val="superscript"/>
        </w:rPr>
        <w:t>2</w:t>
      </w:r>
      <w:r w:rsidRPr="003112FB">
        <w:rPr>
          <w:rFonts w:ascii="Arial"/>
        </w:rPr>
        <w:t>, Windy Lusthom</w:t>
      </w:r>
      <w:r w:rsidRPr="003112FB">
        <w:rPr>
          <w:rFonts w:ascii="Arial"/>
          <w:vertAlign w:val="superscript"/>
        </w:rPr>
        <w:t>2</w:t>
      </w:r>
      <w:r w:rsidRPr="003112FB">
        <w:rPr>
          <w:rFonts w:ascii="Arial"/>
        </w:rPr>
        <w:t xml:space="preserve">, Lia </w:t>
      </w:r>
      <w:proofErr w:type="spellStart"/>
      <w:r w:rsidRPr="003112FB">
        <w:rPr>
          <w:rFonts w:ascii="Arial"/>
        </w:rPr>
        <w:t>Yumi</w:t>
      </w:r>
      <w:proofErr w:type="spellEnd"/>
      <w:r w:rsidRPr="003112FB">
        <w:rPr>
          <w:rFonts w:ascii="Arial"/>
        </w:rPr>
        <w:t xml:space="preserve"> Yusvita</w:t>
      </w:r>
      <w:r w:rsidRPr="003112FB">
        <w:rPr>
          <w:rFonts w:ascii="Arial"/>
          <w:vertAlign w:val="superscript"/>
        </w:rPr>
        <w:t>2</w:t>
      </w:r>
      <w:r w:rsidRPr="003112FB">
        <w:rPr>
          <w:rFonts w:ascii="Arial"/>
        </w:rPr>
        <w:t>, Monika Sandra</w:t>
      </w:r>
      <w:r w:rsidRPr="003112FB">
        <w:rPr>
          <w:rFonts w:ascii="Arial"/>
          <w:vertAlign w:val="superscript"/>
        </w:rPr>
        <w:t>2</w:t>
      </w:r>
    </w:p>
    <w:p w:rsidR="003112FB" w:rsidRDefault="003112FB" w:rsidP="003112FB">
      <w:pPr>
        <w:pStyle w:val="BodyText"/>
        <w:spacing w:before="73" w:line="198" w:lineRule="exact"/>
        <w:ind w:left="100" w:right="5303"/>
        <w:rPr>
          <w:rFonts w:ascii="Arial"/>
        </w:rPr>
      </w:pPr>
      <w:r w:rsidRPr="003112FB">
        <w:rPr>
          <w:rFonts w:ascii="Arial"/>
          <w:vertAlign w:val="superscript"/>
        </w:rPr>
        <w:t>1</w:t>
      </w:r>
      <w:r w:rsidRPr="003112FB">
        <w:rPr>
          <w:rFonts w:ascii="Arial"/>
        </w:rPr>
        <w:t xml:space="preserve">Faculty of Pharmacy, </w:t>
      </w:r>
      <w:proofErr w:type="spellStart"/>
      <w:r w:rsidRPr="003112FB">
        <w:rPr>
          <w:rFonts w:ascii="Arial"/>
        </w:rPr>
        <w:t>Universitas</w:t>
      </w:r>
      <w:proofErr w:type="spellEnd"/>
      <w:r w:rsidRPr="003112FB">
        <w:rPr>
          <w:rFonts w:ascii="Arial"/>
        </w:rPr>
        <w:t xml:space="preserve"> Indonesia, Depok, Indonesia</w:t>
      </w:r>
    </w:p>
    <w:p w:rsidR="00AE3E37" w:rsidRDefault="003112FB" w:rsidP="003112FB">
      <w:pPr>
        <w:pStyle w:val="BodyText"/>
        <w:ind w:right="5303"/>
        <w:rPr>
          <w:rFonts w:ascii="Arial"/>
          <w:sz w:val="20"/>
        </w:rPr>
      </w:pPr>
      <w:r>
        <w:rPr>
          <w:rFonts w:ascii="Arial"/>
        </w:rPr>
        <w:t xml:space="preserve">  </w:t>
      </w:r>
      <w:r w:rsidRPr="003112FB">
        <w:rPr>
          <w:rFonts w:ascii="Arial"/>
          <w:vertAlign w:val="superscript"/>
        </w:rPr>
        <w:t>2</w:t>
      </w:r>
      <w:r w:rsidRPr="003112FB">
        <w:rPr>
          <w:rFonts w:ascii="Arial"/>
        </w:rPr>
        <w:t>Clinisindo Laboratories, Jakarta, Indonesia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3112FB" w:rsidRPr="003112FB" w:rsidRDefault="003112FB" w:rsidP="003112FB">
      <w:pPr>
        <w:pStyle w:val="Heading3"/>
        <w:spacing w:before="74"/>
        <w:jc w:val="both"/>
        <w:rPr>
          <w:rFonts w:ascii="Tw Cen MT" w:eastAsia="Tw Cen MT" w:hAnsi="Tw Cen MT" w:cs="Tw Cen MT"/>
          <w:b w:val="0"/>
          <w:bCs w:val="0"/>
          <w:sz w:val="18"/>
          <w:szCs w:val="18"/>
        </w:rPr>
      </w:pPr>
      <w:r w:rsidRPr="003112FB">
        <w:rPr>
          <w:rFonts w:ascii="Tw Cen MT" w:eastAsia="Tw Cen MT" w:hAnsi="Tw Cen MT" w:cs="Tw Cen MT"/>
          <w:b w:val="0"/>
          <w:bCs w:val="0"/>
          <w:sz w:val="18"/>
          <w:szCs w:val="18"/>
        </w:rPr>
        <w:t xml:space="preserve">Statement of the problem: </w:t>
      </w:r>
      <w:proofErr w:type="spellStart"/>
      <w:r w:rsidRPr="003112FB">
        <w:rPr>
          <w:rFonts w:ascii="Tw Cen MT" w:eastAsia="Tw Cen MT" w:hAnsi="Tw Cen MT" w:cs="Tw Cen MT"/>
          <w:b w:val="0"/>
          <w:bCs w:val="0"/>
          <w:sz w:val="18"/>
          <w:szCs w:val="18"/>
        </w:rPr>
        <w:t>Memantine</w:t>
      </w:r>
      <w:proofErr w:type="spellEnd"/>
      <w:r w:rsidRPr="003112FB">
        <w:rPr>
          <w:rFonts w:ascii="Tw Cen MT" w:eastAsia="Tw Cen MT" w:hAnsi="Tw Cen MT" w:cs="Tw Cen MT"/>
          <w:b w:val="0"/>
          <w:bCs w:val="0"/>
          <w:sz w:val="18"/>
          <w:szCs w:val="18"/>
        </w:rPr>
        <w:t xml:space="preserve"> hydrochloride is an N-Methyl-D-aspartate (NMDA) receptor antagonist and approved for treatment of moderate to severe Alzheimer’s disease. It is compulsory for the generic product of </w:t>
      </w:r>
      <w:proofErr w:type="spellStart"/>
      <w:r w:rsidRPr="003112FB">
        <w:rPr>
          <w:rFonts w:ascii="Tw Cen MT" w:eastAsia="Tw Cen MT" w:hAnsi="Tw Cen MT" w:cs="Tw Cen MT"/>
          <w:b w:val="0"/>
          <w:bCs w:val="0"/>
          <w:sz w:val="18"/>
          <w:szCs w:val="18"/>
        </w:rPr>
        <w:t>memantine</w:t>
      </w:r>
      <w:proofErr w:type="spellEnd"/>
      <w:r w:rsidRPr="003112FB">
        <w:rPr>
          <w:rFonts w:ascii="Tw Cen MT" w:eastAsia="Tw Cen MT" w:hAnsi="Tw Cen MT" w:cs="Tw Cen MT"/>
          <w:b w:val="0"/>
          <w:bCs w:val="0"/>
          <w:sz w:val="18"/>
          <w:szCs w:val="18"/>
        </w:rPr>
        <w:t xml:space="preserve"> hydrochloride to conduct the bioequivalence study. Bioequivalence studies are important to compare the systemic exposure profile of a test product to that of a reference product. This study was performed to investigate the pharmacokinetics and bioavailability of two </w:t>
      </w:r>
      <w:proofErr w:type="spellStart"/>
      <w:r w:rsidRPr="003112FB">
        <w:rPr>
          <w:rFonts w:ascii="Tw Cen MT" w:eastAsia="Tw Cen MT" w:hAnsi="Tw Cen MT" w:cs="Tw Cen MT"/>
          <w:b w:val="0"/>
          <w:bCs w:val="0"/>
          <w:sz w:val="18"/>
          <w:szCs w:val="18"/>
        </w:rPr>
        <w:t>memantine</w:t>
      </w:r>
      <w:proofErr w:type="spellEnd"/>
      <w:r w:rsidRPr="003112FB">
        <w:rPr>
          <w:rFonts w:ascii="Tw Cen MT" w:eastAsia="Tw Cen MT" w:hAnsi="Tw Cen MT" w:cs="Tw Cen MT"/>
          <w:b w:val="0"/>
          <w:bCs w:val="0"/>
          <w:sz w:val="18"/>
          <w:szCs w:val="18"/>
        </w:rPr>
        <w:t xml:space="preserve"> hydrochloride film coated tablet formulations in order to prove bioequivalence between the two formulations. </w:t>
      </w:r>
    </w:p>
    <w:p w:rsidR="003112FB" w:rsidRDefault="003112FB" w:rsidP="003112FB">
      <w:pPr>
        <w:pStyle w:val="Heading3"/>
        <w:spacing w:before="74"/>
        <w:jc w:val="both"/>
        <w:rPr>
          <w:b w:val="0"/>
        </w:rPr>
      </w:pPr>
      <w:r w:rsidRPr="003112FB">
        <w:rPr>
          <w:rFonts w:ascii="Tw Cen MT" w:eastAsia="Tw Cen MT" w:hAnsi="Tw Cen MT" w:cs="Tw Cen MT"/>
          <w:b w:val="0"/>
          <w:bCs w:val="0"/>
          <w:sz w:val="18"/>
          <w:szCs w:val="18"/>
        </w:rPr>
        <w:t xml:space="preserve">Methods: The study was a single dose, open label, randomized, two </w:t>
      </w:r>
      <w:proofErr w:type="gramStart"/>
      <w:r w:rsidRPr="003112FB">
        <w:rPr>
          <w:rFonts w:ascii="Tw Cen MT" w:eastAsia="Tw Cen MT" w:hAnsi="Tw Cen MT" w:cs="Tw Cen MT"/>
          <w:b w:val="0"/>
          <w:bCs w:val="0"/>
          <w:sz w:val="18"/>
          <w:szCs w:val="18"/>
        </w:rPr>
        <w:t>way</w:t>
      </w:r>
      <w:proofErr w:type="gramEnd"/>
      <w:r w:rsidRPr="003112FB">
        <w:rPr>
          <w:rFonts w:ascii="Tw Cen MT" w:eastAsia="Tw Cen MT" w:hAnsi="Tw Cen MT" w:cs="Tw Cen MT"/>
          <w:b w:val="0"/>
          <w:bCs w:val="0"/>
          <w:sz w:val="18"/>
          <w:szCs w:val="18"/>
        </w:rPr>
        <w:t xml:space="preserve"> cross over in 19 healthy subjects under fasting condition. The wash out period was five weeks. Blood samples were obtained prior to dosing and at 1, 2, 3, 4, 5, 6, 7, 8, 9, 10, 12, 16, 24, 36, 48 and 72 hours after drug administration. Plasma concentration of </w:t>
      </w:r>
      <w:proofErr w:type="spellStart"/>
      <w:r w:rsidRPr="003112FB">
        <w:rPr>
          <w:rFonts w:ascii="Tw Cen MT" w:eastAsia="Tw Cen MT" w:hAnsi="Tw Cen MT" w:cs="Tw Cen MT"/>
          <w:b w:val="0"/>
          <w:bCs w:val="0"/>
          <w:sz w:val="18"/>
          <w:szCs w:val="18"/>
        </w:rPr>
        <w:t>memantine</w:t>
      </w:r>
      <w:proofErr w:type="spellEnd"/>
      <w:r w:rsidRPr="003112FB">
        <w:rPr>
          <w:rFonts w:ascii="Tw Cen MT" w:eastAsia="Tw Cen MT" w:hAnsi="Tw Cen MT" w:cs="Tw Cen MT"/>
          <w:b w:val="0"/>
          <w:bCs w:val="0"/>
          <w:sz w:val="18"/>
          <w:szCs w:val="18"/>
        </w:rPr>
        <w:t xml:space="preserve"> </w:t>
      </w:r>
      <w:proofErr w:type="spellStart"/>
      <w:r w:rsidRPr="003112FB">
        <w:rPr>
          <w:rFonts w:ascii="Tw Cen MT" w:eastAsia="Tw Cen MT" w:hAnsi="Tw Cen MT" w:cs="Tw Cen MT"/>
          <w:b w:val="0"/>
          <w:bCs w:val="0"/>
          <w:sz w:val="18"/>
          <w:szCs w:val="18"/>
        </w:rPr>
        <w:t>HCl</w:t>
      </w:r>
      <w:proofErr w:type="spellEnd"/>
      <w:r w:rsidRPr="003112FB">
        <w:rPr>
          <w:rFonts w:ascii="Tw Cen MT" w:eastAsia="Tw Cen MT" w:hAnsi="Tw Cen MT" w:cs="Tw Cen MT"/>
          <w:b w:val="0"/>
          <w:bCs w:val="0"/>
          <w:sz w:val="18"/>
          <w:szCs w:val="18"/>
        </w:rPr>
        <w:t xml:space="preserve"> was monitored using liquid chromatography tandem mass spectrometry. The pharmacokinetics parameter AUC 0-24 h and </w:t>
      </w:r>
      <w:proofErr w:type="spellStart"/>
      <w:r w:rsidRPr="003112FB">
        <w:rPr>
          <w:rFonts w:ascii="Tw Cen MT" w:eastAsia="Tw Cen MT" w:hAnsi="Tw Cen MT" w:cs="Tw Cen MT"/>
          <w:b w:val="0"/>
          <w:bCs w:val="0"/>
          <w:sz w:val="18"/>
          <w:szCs w:val="18"/>
        </w:rPr>
        <w:t>Cmax</w:t>
      </w:r>
      <w:proofErr w:type="spellEnd"/>
      <w:r w:rsidRPr="003112FB">
        <w:rPr>
          <w:rFonts w:ascii="Tw Cen MT" w:eastAsia="Tw Cen MT" w:hAnsi="Tw Cen MT" w:cs="Tw Cen MT"/>
          <w:b w:val="0"/>
          <w:bCs w:val="0"/>
          <w:sz w:val="18"/>
          <w:szCs w:val="18"/>
        </w:rPr>
        <w:t xml:space="preserve"> were tested for bioequivalence after log transformation of data and ratios of </w:t>
      </w:r>
      <w:proofErr w:type="spellStart"/>
      <w:r w:rsidRPr="003112FB">
        <w:rPr>
          <w:rFonts w:ascii="Tw Cen MT" w:eastAsia="Tw Cen MT" w:hAnsi="Tw Cen MT" w:cs="Tw Cen MT"/>
          <w:b w:val="0"/>
          <w:bCs w:val="0"/>
          <w:sz w:val="18"/>
          <w:szCs w:val="18"/>
        </w:rPr>
        <w:t>Tmax</w:t>
      </w:r>
      <w:proofErr w:type="spellEnd"/>
      <w:r w:rsidRPr="003112FB">
        <w:rPr>
          <w:rFonts w:ascii="Tw Cen MT" w:eastAsia="Tw Cen MT" w:hAnsi="Tw Cen MT" w:cs="Tw Cen MT"/>
          <w:b w:val="0"/>
          <w:bCs w:val="0"/>
          <w:sz w:val="18"/>
          <w:szCs w:val="18"/>
        </w:rPr>
        <w:t xml:space="preserve"> were evaluated non parametrically. Result: the point estimates and 90% confidence interval for AUC 0-72 h and </w:t>
      </w:r>
      <w:proofErr w:type="spellStart"/>
      <w:r w:rsidRPr="003112FB">
        <w:rPr>
          <w:rFonts w:ascii="Tw Cen MT" w:eastAsia="Tw Cen MT" w:hAnsi="Tw Cen MT" w:cs="Tw Cen MT"/>
          <w:b w:val="0"/>
          <w:bCs w:val="0"/>
          <w:sz w:val="18"/>
          <w:szCs w:val="18"/>
        </w:rPr>
        <w:t>Cmax</w:t>
      </w:r>
      <w:proofErr w:type="spellEnd"/>
      <w:r w:rsidRPr="003112FB">
        <w:rPr>
          <w:rFonts w:ascii="Tw Cen MT" w:eastAsia="Tw Cen MT" w:hAnsi="Tw Cen MT" w:cs="Tw Cen MT"/>
          <w:b w:val="0"/>
          <w:bCs w:val="0"/>
          <w:sz w:val="18"/>
          <w:szCs w:val="18"/>
        </w:rPr>
        <w:t xml:space="preserve"> were 97.43 to 104.13% and 97.15 to 105.96% respectively.  Conclusion: The results indicate that two formulations of </w:t>
      </w:r>
      <w:proofErr w:type="spellStart"/>
      <w:proofErr w:type="gramStart"/>
      <w:r w:rsidRPr="003112FB">
        <w:rPr>
          <w:rFonts w:ascii="Tw Cen MT" w:eastAsia="Tw Cen MT" w:hAnsi="Tw Cen MT" w:cs="Tw Cen MT"/>
          <w:b w:val="0"/>
          <w:bCs w:val="0"/>
          <w:sz w:val="18"/>
          <w:szCs w:val="18"/>
        </w:rPr>
        <w:t>memantine</w:t>
      </w:r>
      <w:proofErr w:type="spellEnd"/>
      <w:r w:rsidRPr="003112FB">
        <w:rPr>
          <w:rFonts w:ascii="Tw Cen MT" w:eastAsia="Tw Cen MT" w:hAnsi="Tw Cen MT" w:cs="Tw Cen MT"/>
          <w:b w:val="0"/>
          <w:bCs w:val="0"/>
          <w:sz w:val="18"/>
          <w:szCs w:val="18"/>
        </w:rPr>
        <w:t xml:space="preserve">  </w:t>
      </w:r>
      <w:proofErr w:type="spellStart"/>
      <w:r w:rsidRPr="003112FB">
        <w:rPr>
          <w:rFonts w:ascii="Tw Cen MT" w:eastAsia="Tw Cen MT" w:hAnsi="Tw Cen MT" w:cs="Tw Cen MT"/>
          <w:b w:val="0"/>
          <w:bCs w:val="0"/>
          <w:sz w:val="18"/>
          <w:szCs w:val="18"/>
        </w:rPr>
        <w:t>HCl</w:t>
      </w:r>
      <w:proofErr w:type="spellEnd"/>
      <w:proofErr w:type="gramEnd"/>
      <w:r w:rsidRPr="003112FB">
        <w:rPr>
          <w:rFonts w:ascii="Tw Cen MT" w:eastAsia="Tw Cen MT" w:hAnsi="Tw Cen MT" w:cs="Tw Cen MT"/>
          <w:b w:val="0"/>
          <w:bCs w:val="0"/>
          <w:sz w:val="18"/>
          <w:szCs w:val="18"/>
        </w:rPr>
        <w:t xml:space="preserve"> were bioequivalent thus may be prescribed interchangeably. </w:t>
      </w:r>
      <w:r w:rsidR="00A9710C">
        <w:rPr>
          <w:b w:val="0"/>
        </w:rPr>
        <w:br w:type="column"/>
      </w:r>
    </w:p>
    <w:p w:rsidR="003112FB" w:rsidRPr="003112FB" w:rsidRDefault="00A9710C" w:rsidP="003112FB">
      <w:pPr>
        <w:pStyle w:val="Heading3"/>
        <w:spacing w:before="74"/>
        <w:jc w:val="both"/>
        <w:rPr>
          <w:color w:val="BF5A14"/>
        </w:rPr>
      </w:pPr>
      <w:r>
        <w:rPr>
          <w:color w:val="BF5A14"/>
        </w:rPr>
        <w:t>Image</w:t>
      </w:r>
    </w:p>
    <w:p w:rsidR="00AE3E37" w:rsidRDefault="003112FB">
      <w:pPr>
        <w:pStyle w:val="BodyText"/>
        <w:spacing w:before="2"/>
        <w:rPr>
          <w:rFonts w:ascii="Arial"/>
          <w:b/>
          <w:sz w:val="16"/>
        </w:rPr>
      </w:pPr>
      <w:r w:rsidRPr="00406370">
        <w:rPr>
          <w:noProof/>
        </w:rPr>
        <w:drawing>
          <wp:inline distT="0" distB="0" distL="0" distR="0" wp14:anchorId="13B3EDE4" wp14:editId="78BA07C9">
            <wp:extent cx="3165475" cy="14690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469023"/>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267B5B" w:rsidP="005973B9">
      <w:pPr>
        <w:pStyle w:val="ListParagraph"/>
        <w:numPr>
          <w:ilvl w:val="0"/>
          <w:numId w:val="3"/>
        </w:numPr>
        <w:tabs>
          <w:tab w:val="left" w:pos="384"/>
        </w:tabs>
        <w:spacing w:before="103" w:line="216" w:lineRule="exact"/>
        <w:ind w:right="138" w:hanging="283"/>
        <w:rPr>
          <w:sz w:val="18"/>
        </w:rPr>
      </w:pPr>
      <w:r>
        <w:rPr>
          <w:sz w:val="18"/>
        </w:rPr>
        <w:t xml:space="preserve">Almeida AA, Campos DR, </w:t>
      </w:r>
      <w:proofErr w:type="spellStart"/>
      <w:r>
        <w:rPr>
          <w:sz w:val="18"/>
        </w:rPr>
        <w:t>Bernasconi</w:t>
      </w:r>
      <w:proofErr w:type="spellEnd"/>
      <w:r>
        <w:rPr>
          <w:sz w:val="18"/>
        </w:rPr>
        <w:t xml:space="preserve"> G, </w:t>
      </w:r>
      <w:proofErr w:type="spellStart"/>
      <w:r>
        <w:rPr>
          <w:sz w:val="18"/>
        </w:rPr>
        <w:t>Calafatti</w:t>
      </w:r>
      <w:proofErr w:type="spellEnd"/>
      <w:r>
        <w:rPr>
          <w:sz w:val="18"/>
        </w:rPr>
        <w:t xml:space="preserve"> S, Barros FA, et al (2007) Determination of </w:t>
      </w:r>
      <w:proofErr w:type="spellStart"/>
      <w:r>
        <w:rPr>
          <w:sz w:val="18"/>
        </w:rPr>
        <w:t>memantine</w:t>
      </w:r>
      <w:proofErr w:type="spellEnd"/>
      <w:r>
        <w:rPr>
          <w:sz w:val="18"/>
        </w:rPr>
        <w:t xml:space="preserve"> in human plasma by liquid chromatography-electrospray tandem mass spectrometry application to a bioequivalence study, J </w:t>
      </w:r>
      <w:proofErr w:type="spellStart"/>
      <w:r>
        <w:rPr>
          <w:sz w:val="18"/>
        </w:rPr>
        <w:t>Chromatogr</w:t>
      </w:r>
      <w:proofErr w:type="spellEnd"/>
      <w:r>
        <w:rPr>
          <w:sz w:val="18"/>
        </w:rPr>
        <w:t xml:space="preserve"> B </w:t>
      </w:r>
      <w:proofErr w:type="spellStart"/>
      <w:r>
        <w:rPr>
          <w:sz w:val="18"/>
        </w:rPr>
        <w:t>Analyt</w:t>
      </w:r>
      <w:proofErr w:type="spellEnd"/>
      <w:r>
        <w:rPr>
          <w:sz w:val="18"/>
        </w:rPr>
        <w:t xml:space="preserve"> </w:t>
      </w:r>
      <w:proofErr w:type="spellStart"/>
      <w:r>
        <w:rPr>
          <w:sz w:val="18"/>
        </w:rPr>
        <w:t>Technol</w:t>
      </w:r>
      <w:proofErr w:type="spellEnd"/>
      <w:r>
        <w:rPr>
          <w:sz w:val="18"/>
        </w:rPr>
        <w:t xml:space="preserve"> Biomed Life </w:t>
      </w:r>
      <w:proofErr w:type="spellStart"/>
      <w:r>
        <w:rPr>
          <w:sz w:val="18"/>
        </w:rPr>
        <w:t>Sci</w:t>
      </w:r>
      <w:proofErr w:type="spellEnd"/>
      <w:r>
        <w:rPr>
          <w:sz w:val="18"/>
        </w:rPr>
        <w:t xml:space="preserve"> 848: 311-316.</w:t>
      </w:r>
    </w:p>
    <w:p w:rsidR="005973B9" w:rsidRDefault="00267B5B" w:rsidP="005973B9">
      <w:pPr>
        <w:pStyle w:val="ListParagraph"/>
        <w:numPr>
          <w:ilvl w:val="0"/>
          <w:numId w:val="3"/>
        </w:numPr>
        <w:tabs>
          <w:tab w:val="left" w:pos="384"/>
        </w:tabs>
        <w:spacing w:line="216" w:lineRule="exact"/>
        <w:ind w:right="137" w:hanging="283"/>
        <w:rPr>
          <w:sz w:val="18"/>
        </w:rPr>
      </w:pPr>
      <w:r>
        <w:rPr>
          <w:sz w:val="18"/>
        </w:rPr>
        <w:t xml:space="preserve">BPOM </w:t>
      </w:r>
      <w:proofErr w:type="spellStart"/>
      <w:r>
        <w:rPr>
          <w:sz w:val="18"/>
        </w:rPr>
        <w:t>Badan</w:t>
      </w:r>
      <w:proofErr w:type="spellEnd"/>
      <w:r>
        <w:rPr>
          <w:sz w:val="18"/>
        </w:rPr>
        <w:t xml:space="preserve"> </w:t>
      </w:r>
      <w:proofErr w:type="spellStart"/>
      <w:r>
        <w:rPr>
          <w:sz w:val="18"/>
        </w:rPr>
        <w:t>Pengawas</w:t>
      </w:r>
      <w:proofErr w:type="spellEnd"/>
      <w:r>
        <w:rPr>
          <w:sz w:val="18"/>
        </w:rPr>
        <w:t xml:space="preserve"> </w:t>
      </w:r>
      <w:proofErr w:type="spellStart"/>
      <w:r>
        <w:rPr>
          <w:sz w:val="18"/>
        </w:rPr>
        <w:t>Obat</w:t>
      </w:r>
      <w:proofErr w:type="spellEnd"/>
      <w:r>
        <w:rPr>
          <w:sz w:val="18"/>
        </w:rPr>
        <w:t xml:space="preserve"> </w:t>
      </w:r>
      <w:proofErr w:type="spellStart"/>
      <w:r>
        <w:rPr>
          <w:sz w:val="18"/>
        </w:rPr>
        <w:t>dan</w:t>
      </w:r>
      <w:proofErr w:type="spellEnd"/>
      <w:r>
        <w:rPr>
          <w:sz w:val="18"/>
        </w:rPr>
        <w:t xml:space="preserve"> </w:t>
      </w:r>
      <w:proofErr w:type="spellStart"/>
      <w:r>
        <w:rPr>
          <w:sz w:val="18"/>
        </w:rPr>
        <w:t>Makanan</w:t>
      </w:r>
      <w:proofErr w:type="spellEnd"/>
      <w:r>
        <w:rPr>
          <w:sz w:val="18"/>
        </w:rPr>
        <w:t xml:space="preserve"> (2003) </w:t>
      </w:r>
      <w:proofErr w:type="spellStart"/>
      <w:r>
        <w:rPr>
          <w:sz w:val="18"/>
        </w:rPr>
        <w:t>Pedoman</w:t>
      </w:r>
      <w:proofErr w:type="spellEnd"/>
      <w:r>
        <w:rPr>
          <w:sz w:val="18"/>
        </w:rPr>
        <w:t xml:space="preserve"> </w:t>
      </w:r>
      <w:proofErr w:type="spellStart"/>
      <w:r>
        <w:rPr>
          <w:sz w:val="18"/>
        </w:rPr>
        <w:t>Uji</w:t>
      </w:r>
      <w:proofErr w:type="spellEnd"/>
      <w:r>
        <w:rPr>
          <w:sz w:val="18"/>
        </w:rPr>
        <w:t xml:space="preserve"> </w:t>
      </w:r>
      <w:proofErr w:type="spellStart"/>
      <w:r>
        <w:rPr>
          <w:sz w:val="18"/>
        </w:rPr>
        <w:t>Bioekivalensi</w:t>
      </w:r>
      <w:proofErr w:type="spellEnd"/>
      <w:r>
        <w:rPr>
          <w:sz w:val="18"/>
        </w:rPr>
        <w:t xml:space="preserve"> (Guidelines for Bioequivalence Study), Jakarta, Indonesia.</w:t>
      </w:r>
    </w:p>
    <w:p w:rsidR="005973B9" w:rsidRPr="00267B5B" w:rsidRDefault="00773588" w:rsidP="005973B9">
      <w:pPr>
        <w:pStyle w:val="ListParagraph"/>
        <w:numPr>
          <w:ilvl w:val="0"/>
          <w:numId w:val="3"/>
        </w:numPr>
        <w:tabs>
          <w:tab w:val="left" w:pos="384"/>
        </w:tabs>
        <w:spacing w:line="216" w:lineRule="exact"/>
        <w:ind w:right="138" w:hanging="283"/>
        <w:rPr>
          <w:sz w:val="18"/>
        </w:rPr>
      </w:pPr>
      <w:r w:rsidRPr="00267B5B">
        <w:rPr>
          <w:sz w:val="18"/>
        </w:rPr>
        <w:t>CHMP Committee for M</w:t>
      </w:r>
      <w:r w:rsidR="000D55A5" w:rsidRPr="00267B5B">
        <w:rPr>
          <w:sz w:val="18"/>
        </w:rPr>
        <w:t>edicinal Products for Human Use (2010)</w:t>
      </w:r>
      <w:r w:rsidRPr="00267B5B">
        <w:rPr>
          <w:sz w:val="18"/>
        </w:rPr>
        <w:t xml:space="preserve"> Guideline on The Investigation of Bioequivalence, EMEA, London.</w:t>
      </w:r>
      <w:r w:rsidR="005973B9" w:rsidRPr="00267B5B">
        <w:rPr>
          <w:sz w:val="18"/>
        </w:rPr>
        <w:t xml:space="preserve"> </w:t>
      </w:r>
    </w:p>
    <w:p w:rsidR="00267B5B" w:rsidRPr="00267B5B" w:rsidRDefault="00C83EAB" w:rsidP="00267B5B">
      <w:pPr>
        <w:pStyle w:val="ListParagraph"/>
        <w:numPr>
          <w:ilvl w:val="0"/>
          <w:numId w:val="3"/>
        </w:numPr>
        <w:tabs>
          <w:tab w:val="left" w:pos="384"/>
        </w:tabs>
        <w:spacing w:before="92" w:line="218" w:lineRule="exact"/>
        <w:ind w:hanging="283"/>
      </w:pPr>
      <w:r w:rsidRPr="00C83EAB">
        <w:rPr>
          <w:sz w:val="18"/>
        </w:rPr>
        <w:t xml:space="preserve">CHMP Committee for Medicinal Products for Human Use </w:t>
      </w:r>
      <w:r w:rsidR="005973B9" w:rsidRPr="00267B5B">
        <w:rPr>
          <w:sz w:val="18"/>
        </w:rPr>
        <w:t>(</w:t>
      </w:r>
      <w:r>
        <w:rPr>
          <w:sz w:val="18"/>
        </w:rPr>
        <w:t xml:space="preserve">2011) </w:t>
      </w:r>
      <w:r w:rsidR="00267B5B" w:rsidRPr="00267B5B">
        <w:rPr>
          <w:sz w:val="18"/>
        </w:rPr>
        <w:t xml:space="preserve">Guideline on </w:t>
      </w:r>
      <w:r>
        <w:rPr>
          <w:sz w:val="18"/>
        </w:rPr>
        <w:t xml:space="preserve">bioanalytical Method Validation, </w:t>
      </w:r>
      <w:r w:rsidRPr="00267B5B">
        <w:rPr>
          <w:sz w:val="18"/>
        </w:rPr>
        <w:t>EMEA, London</w:t>
      </w:r>
      <w:r>
        <w:rPr>
          <w:sz w:val="18"/>
        </w:rPr>
        <w:t>.</w:t>
      </w:r>
      <w:bookmarkStart w:id="0" w:name="_GoBack"/>
      <w:bookmarkEnd w:id="0"/>
    </w:p>
    <w:p w:rsidR="00AE3E37" w:rsidRPr="00267B5B" w:rsidRDefault="00267B5B" w:rsidP="00267B5B">
      <w:pPr>
        <w:pStyle w:val="ListParagraph"/>
        <w:numPr>
          <w:ilvl w:val="0"/>
          <w:numId w:val="3"/>
        </w:numPr>
        <w:tabs>
          <w:tab w:val="left" w:pos="384"/>
        </w:tabs>
        <w:spacing w:line="216" w:lineRule="exact"/>
        <w:ind w:right="137" w:hanging="283"/>
        <w:rPr>
          <w:sz w:val="18"/>
        </w:rPr>
        <w:sectPr w:rsidR="00AE3E37" w:rsidRPr="00267B5B">
          <w:type w:val="continuous"/>
          <w:pgSz w:w="11910" w:h="16840"/>
          <w:pgMar w:top="1740" w:right="600" w:bottom="840" w:left="620" w:header="720" w:footer="720" w:gutter="0"/>
          <w:cols w:num="2" w:space="720" w:equalWidth="0">
            <w:col w:w="5214" w:space="138"/>
            <w:col w:w="5338"/>
          </w:cols>
        </w:sectPr>
      </w:pPr>
      <w:proofErr w:type="spellStart"/>
      <w:r w:rsidRPr="00267B5B">
        <w:rPr>
          <w:sz w:val="18"/>
        </w:rPr>
        <w:t>Periclou</w:t>
      </w:r>
      <w:proofErr w:type="spellEnd"/>
      <w:r w:rsidRPr="00267B5B">
        <w:rPr>
          <w:sz w:val="18"/>
        </w:rPr>
        <w:t xml:space="preserve"> A, Ventura D, Rao N, Abramowitz W </w:t>
      </w:r>
      <w:r w:rsidR="005973B9" w:rsidRPr="00267B5B">
        <w:rPr>
          <w:sz w:val="18"/>
        </w:rPr>
        <w:t>(200</w:t>
      </w:r>
      <w:r w:rsidRPr="00267B5B">
        <w:rPr>
          <w:sz w:val="18"/>
        </w:rPr>
        <w:t>6</w:t>
      </w:r>
      <w:r w:rsidR="005973B9" w:rsidRPr="00267B5B">
        <w:rPr>
          <w:sz w:val="18"/>
        </w:rPr>
        <w:t xml:space="preserve">) </w:t>
      </w:r>
      <w:r w:rsidRPr="00267B5B">
        <w:rPr>
          <w:sz w:val="18"/>
        </w:rPr>
        <w:t xml:space="preserve">Pharmacokinetics of single-dose and multiple-dose </w:t>
      </w:r>
      <w:proofErr w:type="spellStart"/>
      <w:r w:rsidRPr="00267B5B">
        <w:rPr>
          <w:sz w:val="18"/>
        </w:rPr>
        <w:t>memantine</w:t>
      </w:r>
      <w:proofErr w:type="spellEnd"/>
      <w:r w:rsidRPr="00267B5B">
        <w:rPr>
          <w:sz w:val="18"/>
        </w:rPr>
        <w:t xml:space="preserve"> in healthy Chinese volunteers using an analytic method of liquid chromatography-tandem mass spectrometry. </w:t>
      </w:r>
      <w:proofErr w:type="spellStart"/>
      <w:r w:rsidRPr="00267B5B">
        <w:rPr>
          <w:sz w:val="18"/>
        </w:rPr>
        <w:t>Clin</w:t>
      </w:r>
      <w:proofErr w:type="spellEnd"/>
      <w:r w:rsidRPr="00267B5B">
        <w:rPr>
          <w:sz w:val="18"/>
        </w:rPr>
        <w:t xml:space="preserve"> </w:t>
      </w:r>
      <w:proofErr w:type="spellStart"/>
      <w:r w:rsidRPr="00267B5B">
        <w:rPr>
          <w:sz w:val="18"/>
        </w:rPr>
        <w:t>Ther</w:t>
      </w:r>
      <w:proofErr w:type="spellEnd"/>
      <w:r w:rsidRPr="00267B5B">
        <w:rPr>
          <w:sz w:val="18"/>
        </w:rPr>
        <w:t xml:space="preserve"> 30: 641-653.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77EE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462437"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62437"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3112FB">
      <w:pPr>
        <w:spacing w:before="41" w:line="154" w:lineRule="exact"/>
        <w:ind w:left="213" w:right="231"/>
        <w:jc w:val="both"/>
        <w:rPr>
          <w:rFonts w:ascii="Arial"/>
          <w:sz w:val="14"/>
        </w:rPr>
      </w:pPr>
      <w:r w:rsidRPr="003112FB">
        <w:rPr>
          <w:rFonts w:ascii="Arial"/>
          <w:sz w:val="14"/>
        </w:rPr>
        <w:t xml:space="preserve">Dr. </w:t>
      </w:r>
      <w:proofErr w:type="spellStart"/>
      <w:r w:rsidRPr="003112FB">
        <w:rPr>
          <w:rFonts w:ascii="Arial"/>
          <w:sz w:val="14"/>
        </w:rPr>
        <w:t>Yahdiana</w:t>
      </w:r>
      <w:proofErr w:type="spellEnd"/>
      <w:r w:rsidRPr="003112FB">
        <w:rPr>
          <w:rFonts w:ascii="Arial"/>
          <w:sz w:val="14"/>
        </w:rPr>
        <w:t xml:space="preserve"> </w:t>
      </w:r>
      <w:proofErr w:type="spellStart"/>
      <w:r w:rsidRPr="003112FB">
        <w:rPr>
          <w:rFonts w:ascii="Arial"/>
          <w:sz w:val="14"/>
        </w:rPr>
        <w:t>Harahap</w:t>
      </w:r>
      <w:proofErr w:type="spellEnd"/>
      <w:r w:rsidRPr="003112FB">
        <w:rPr>
          <w:rFonts w:ascii="Arial"/>
          <w:sz w:val="14"/>
        </w:rPr>
        <w:t xml:space="preserve"> is a Professor in the field of Pharmaceutical Chemistry especially </w:t>
      </w:r>
      <w:proofErr w:type="spellStart"/>
      <w:r w:rsidRPr="003112FB">
        <w:rPr>
          <w:rFonts w:ascii="Arial"/>
          <w:sz w:val="14"/>
        </w:rPr>
        <w:t>Bioanaysis</w:t>
      </w:r>
      <w:proofErr w:type="spellEnd"/>
      <w:r w:rsidRPr="003112FB">
        <w:rPr>
          <w:rFonts w:ascii="Arial"/>
          <w:sz w:val="14"/>
        </w:rPr>
        <w:t xml:space="preserve"> related to bioequivalence study and DNA Adduct. She received her Master Degree in 1994 and Doctoral degree in 2003 from Department of Pharmacy, Faculty of Mathematics and Natural Sciences, Institute </w:t>
      </w:r>
      <w:proofErr w:type="spellStart"/>
      <w:r w:rsidRPr="003112FB">
        <w:rPr>
          <w:rFonts w:ascii="Arial"/>
          <w:sz w:val="14"/>
        </w:rPr>
        <w:t>Teknologi</w:t>
      </w:r>
      <w:proofErr w:type="spellEnd"/>
      <w:r w:rsidRPr="003112FB">
        <w:rPr>
          <w:rFonts w:ascii="Arial"/>
          <w:sz w:val="14"/>
        </w:rPr>
        <w:t xml:space="preserve"> Bandung. She has been The Head of Bioavailability-Bioequivalence Laboratory Faculty of Pharmacy </w:t>
      </w:r>
      <w:proofErr w:type="spellStart"/>
      <w:r w:rsidRPr="003112FB">
        <w:rPr>
          <w:rFonts w:ascii="Arial"/>
          <w:sz w:val="14"/>
        </w:rPr>
        <w:t>Universitas</w:t>
      </w:r>
      <w:proofErr w:type="spellEnd"/>
      <w:r w:rsidRPr="003112FB">
        <w:rPr>
          <w:rFonts w:ascii="Arial"/>
          <w:sz w:val="14"/>
        </w:rPr>
        <w:t xml:space="preserve"> Indonesia since 2008. She serves as member of Expert Council Indonesian Pharmacist Association, reviewer in several international journals, President elected on Asian Federation of Pharmaceutical Science, Head of Sub Collegium Indonesia Pharmaceutical Industry and as The Head of Pharmacy Division in Indonesian Accreditation Agency for Higher Education in Health (LAM PT-</w:t>
      </w:r>
      <w:proofErr w:type="spellStart"/>
      <w:r w:rsidRPr="003112FB">
        <w:rPr>
          <w:rFonts w:ascii="Arial"/>
          <w:sz w:val="14"/>
        </w:rPr>
        <w:t>Kes</w:t>
      </w:r>
      <w:proofErr w:type="spellEnd"/>
      <w:r w:rsidRPr="003112FB">
        <w:rPr>
          <w:rFonts w:ascii="Arial"/>
          <w:sz w:val="14"/>
        </w:rPr>
        <w:t>). She has generated more than 80 scientific works published in international and national journals, thus presented them in national and international conferences.</w:t>
      </w:r>
    </w:p>
    <w:p w:rsidR="00AE3E37" w:rsidRPr="00267B5B" w:rsidRDefault="00A9710C" w:rsidP="00267B5B">
      <w:pPr>
        <w:spacing w:before="62"/>
        <w:ind w:left="4217" w:right="4235"/>
        <w:jc w:val="center"/>
        <w:rPr>
          <w:rFonts w:ascii="Arial"/>
          <w:sz w:val="14"/>
        </w:rPr>
      </w:pPr>
      <w:r>
        <w:rPr>
          <w:rFonts w:ascii="Arial"/>
          <w:sz w:val="14"/>
        </w:rPr>
        <w:t xml:space="preserve">Email: </w:t>
      </w:r>
      <w:hyperlink r:id="rId11" w:history="1">
        <w:r w:rsidR="003112FB" w:rsidRPr="00C8178F">
          <w:rPr>
            <w:rStyle w:val="Hyperlink"/>
            <w:rFonts w:ascii="Arial"/>
            <w:sz w:val="14"/>
          </w:rPr>
          <w:t>yahdiana03@yahoo.com</w:t>
        </w:r>
      </w:hyperlink>
      <w:r w:rsidR="00292ED9">
        <w:rPr>
          <w:noProof/>
        </w:rPr>
        <mc:AlternateContent>
          <mc:Choice Requires="wps">
            <w:drawing>
              <wp:anchor distT="0" distB="0" distL="0" distR="0" simplePos="0" relativeHeight="251656704" behindDoc="0" locked="0" layoutInCell="1" allowOverlap="1" wp14:anchorId="21760F9A" wp14:editId="49414BE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332D9"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98F" w:rsidRDefault="0042498F">
      <w:r>
        <w:separator/>
      </w:r>
    </w:p>
  </w:endnote>
  <w:endnote w:type="continuationSeparator" w:id="0">
    <w:p w:rsidR="0042498F" w:rsidRDefault="00424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98F" w:rsidRDefault="0042498F">
      <w:r>
        <w:separator/>
      </w:r>
    </w:p>
  </w:footnote>
  <w:footnote w:type="continuationSeparator" w:id="0">
    <w:p w:rsidR="0042498F" w:rsidRDefault="0042498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2D7"/>
    <w:rsid w:val="000D55A5"/>
    <w:rsid w:val="000E2911"/>
    <w:rsid w:val="001263DF"/>
    <w:rsid w:val="002455EC"/>
    <w:rsid w:val="00267B5B"/>
    <w:rsid w:val="00292ED9"/>
    <w:rsid w:val="003112FB"/>
    <w:rsid w:val="00404E5B"/>
    <w:rsid w:val="00414F7B"/>
    <w:rsid w:val="0042498F"/>
    <w:rsid w:val="004355DC"/>
    <w:rsid w:val="004749B4"/>
    <w:rsid w:val="00494130"/>
    <w:rsid w:val="004F3523"/>
    <w:rsid w:val="005973B9"/>
    <w:rsid w:val="005B3A56"/>
    <w:rsid w:val="006060CE"/>
    <w:rsid w:val="0063497F"/>
    <w:rsid w:val="006F4CF8"/>
    <w:rsid w:val="00773588"/>
    <w:rsid w:val="00873DF0"/>
    <w:rsid w:val="008756E6"/>
    <w:rsid w:val="008A08B6"/>
    <w:rsid w:val="009B2D44"/>
    <w:rsid w:val="00A07E82"/>
    <w:rsid w:val="00A9710C"/>
    <w:rsid w:val="00AE3E37"/>
    <w:rsid w:val="00B21A57"/>
    <w:rsid w:val="00C33602"/>
    <w:rsid w:val="00C83EA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2A3945"/>
  <w15:docId w15:val="{255C024D-A8E2-4E82-B795-6F5D2DF5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hdiana03@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Farmasi</cp:lastModifiedBy>
  <cp:revision>5</cp:revision>
  <cp:lastPrinted>2018-03-22T08:13:00Z</cp:lastPrinted>
  <dcterms:created xsi:type="dcterms:W3CDTF">2016-12-06T11:19:00Z</dcterms:created>
  <dcterms:modified xsi:type="dcterms:W3CDTF">2018-03-23T01:46:00Z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