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D5823" w14:textId="2CB037F0" w:rsidR="00D77AA1" w:rsidRPr="00201ACC" w:rsidRDefault="00AB0A5C" w:rsidP="00D77AA1">
      <w:pPr>
        <w:spacing w:line="360" w:lineRule="auto"/>
        <w:rPr>
          <w:rFonts w:ascii="Times New Roman" w:hAnsi="Times New Roman" w:cs="Times New Roman"/>
          <w:bCs/>
          <w:sz w:val="30"/>
          <w:szCs w:val="30"/>
          <w:shd w:val="clear" w:color="auto" w:fill="FCFCFC"/>
        </w:rPr>
      </w:pPr>
      <w:r w:rsidRPr="00201ACC">
        <w:rPr>
          <w:rFonts w:ascii="Times New Roman" w:hAnsi="Times New Roman" w:cs="Times New Roman"/>
          <w:bCs/>
          <w:sz w:val="30"/>
          <w:szCs w:val="30"/>
          <w:shd w:val="clear" w:color="auto" w:fill="FCFCFC"/>
        </w:rPr>
        <w:t>R</w:t>
      </w:r>
      <w:r w:rsidR="00D77AA1" w:rsidRPr="00201ACC">
        <w:rPr>
          <w:rFonts w:ascii="Times New Roman" w:hAnsi="Times New Roman" w:cs="Times New Roman"/>
          <w:bCs/>
          <w:sz w:val="30"/>
          <w:szCs w:val="30"/>
          <w:shd w:val="clear" w:color="auto" w:fill="FCFCFC"/>
        </w:rPr>
        <w:t xml:space="preserve">isk of </w:t>
      </w:r>
      <w:r w:rsidRPr="00201ACC">
        <w:rPr>
          <w:rFonts w:ascii="Times New Roman" w:hAnsi="Times New Roman" w:cs="Times New Roman"/>
          <w:bCs/>
          <w:sz w:val="30"/>
          <w:szCs w:val="30"/>
          <w:shd w:val="clear" w:color="auto" w:fill="FCFCFC"/>
        </w:rPr>
        <w:t>new or</w:t>
      </w:r>
      <w:r w:rsidR="00D77AA1" w:rsidRPr="00201ACC">
        <w:rPr>
          <w:rFonts w:ascii="Times New Roman" w:hAnsi="Times New Roman" w:cs="Times New Roman"/>
          <w:bCs/>
          <w:sz w:val="30"/>
          <w:szCs w:val="30"/>
          <w:shd w:val="clear" w:color="auto" w:fill="FCFCFC"/>
        </w:rPr>
        <w:t xml:space="preserve"> recurren</w:t>
      </w:r>
      <w:r w:rsidRPr="00201ACC">
        <w:rPr>
          <w:rFonts w:ascii="Times New Roman" w:hAnsi="Times New Roman" w:cs="Times New Roman"/>
          <w:bCs/>
          <w:sz w:val="30"/>
          <w:szCs w:val="30"/>
          <w:shd w:val="clear" w:color="auto" w:fill="FCFCFC"/>
        </w:rPr>
        <w:t xml:space="preserve">t cancer following biologic therapies and </w:t>
      </w:r>
      <w:r w:rsidR="00375A46" w:rsidRPr="00201ACC">
        <w:rPr>
          <w:rFonts w:ascii="Times New Roman" w:hAnsi="Times New Roman" w:cs="Times New Roman"/>
          <w:bCs/>
          <w:sz w:val="30"/>
          <w:szCs w:val="30"/>
          <w:shd w:val="clear" w:color="auto" w:fill="FCFCFC"/>
        </w:rPr>
        <w:t>in</w:t>
      </w:r>
      <w:r w:rsidR="00D77AA1" w:rsidRPr="00201ACC">
        <w:rPr>
          <w:rFonts w:ascii="Times New Roman" w:hAnsi="Times New Roman" w:cs="Times New Roman"/>
          <w:bCs/>
          <w:sz w:val="30"/>
          <w:szCs w:val="30"/>
          <w:shd w:val="clear" w:color="auto" w:fill="FCFCFC"/>
        </w:rPr>
        <w:t xml:space="preserve"> patients with rheumatoid arthritis and previous cancer: </w:t>
      </w:r>
      <w:r w:rsidR="00375A46" w:rsidRPr="00201ACC">
        <w:rPr>
          <w:rFonts w:ascii="Times New Roman" w:hAnsi="Times New Roman" w:cs="Times New Roman"/>
          <w:bCs/>
          <w:sz w:val="30"/>
          <w:szCs w:val="30"/>
          <w:shd w:val="clear" w:color="auto" w:fill="FCFCFC"/>
        </w:rPr>
        <w:t xml:space="preserve">a </w:t>
      </w:r>
      <w:r w:rsidR="00D77AA1" w:rsidRPr="00201ACC">
        <w:rPr>
          <w:rFonts w:ascii="Times New Roman" w:hAnsi="Times New Roman" w:cs="Times New Roman"/>
          <w:bCs/>
          <w:sz w:val="30"/>
          <w:szCs w:val="30"/>
          <w:shd w:val="clear" w:color="auto" w:fill="FCFCFC"/>
        </w:rPr>
        <w:t>systematic review and meta-analysis of observational studies</w:t>
      </w:r>
    </w:p>
    <w:p w14:paraId="2197E719" w14:textId="18A4D8C9" w:rsidR="00D77AA1" w:rsidRDefault="00D77AA1" w:rsidP="00D77AA1">
      <w:pPr>
        <w:spacing w:line="360" w:lineRule="auto"/>
        <w:rPr>
          <w:rFonts w:ascii="Times New Roman" w:eastAsia="Arial Unicode MS" w:hAnsi="Times New Roman" w:cs="Times New Roman"/>
          <w:b/>
          <w:sz w:val="28"/>
          <w:szCs w:val="28"/>
        </w:rPr>
      </w:pPr>
      <w:r>
        <w:rPr>
          <w:rFonts w:ascii="Times New Roman" w:eastAsia="Arial Unicode MS" w:hAnsi="Times New Roman" w:cs="Times New Roman"/>
          <w:b/>
          <w:sz w:val="28"/>
          <w:szCs w:val="28"/>
        </w:rPr>
        <w:t xml:space="preserve">Abstract </w:t>
      </w:r>
    </w:p>
    <w:p w14:paraId="4160D6E7" w14:textId="2A36D3E4" w:rsidR="00D77AA1" w:rsidRPr="00D77AA1" w:rsidRDefault="00D77AA1" w:rsidP="00D77AA1">
      <w:pPr>
        <w:spacing w:line="36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Background:</w:t>
      </w:r>
      <w:r>
        <w:rPr>
          <w:rFonts w:ascii="Times New Roman" w:eastAsia="Arial Unicode MS" w:hAnsi="Times New Roman" w:cs="Times New Roman"/>
          <w:sz w:val="24"/>
          <w:szCs w:val="24"/>
        </w:rPr>
        <w:t xml:space="preserve"> Patients with rheumatoid arthritis (RA) and a history of malignancy are frequently seen in clinical practice. Considering </w:t>
      </w:r>
      <w:r>
        <w:rPr>
          <w:rFonts w:ascii="Times New Roman" w:hAnsi="Times New Roman" w:cs="Times New Roman"/>
          <w:sz w:val="24"/>
          <w:szCs w:val="24"/>
        </w:rPr>
        <w:t xml:space="preserve">increasing prescription of </w:t>
      </w:r>
      <w:r>
        <w:rPr>
          <w:rFonts w:ascii="Times New Roman" w:eastAsia="Arial Unicode MS" w:hAnsi="Times New Roman" w:cs="Times New Roman"/>
          <w:sz w:val="24"/>
          <w:szCs w:val="24"/>
        </w:rPr>
        <w:t xml:space="preserve">biologics, the safety of the agents </w:t>
      </w:r>
      <w:r>
        <w:rPr>
          <w:rFonts w:ascii="Times New Roman" w:hAnsi="Times New Roman" w:cs="Times New Roman"/>
          <w:sz w:val="24"/>
          <w:szCs w:val="24"/>
        </w:rPr>
        <w:t>requires further evaluation</w:t>
      </w:r>
      <w:r>
        <w:rPr>
          <w:rFonts w:ascii="Times New Roman" w:eastAsia="Arial Unicode MS" w:hAnsi="Times New Roman" w:cs="Times New Roman"/>
          <w:sz w:val="24"/>
          <w:szCs w:val="24"/>
        </w:rPr>
        <w:t xml:space="preserve">. We aim to explore the risk of new and recurrent cancer in adult RA patients </w:t>
      </w:r>
      <w:r>
        <w:rPr>
          <w:rFonts w:ascii="Times New Roman" w:hAnsi="Times New Roman" w:cs="Times New Roman"/>
          <w:sz w:val="24"/>
          <w:szCs w:val="24"/>
        </w:rPr>
        <w:t xml:space="preserve">with prior malignancy and subsequently </w:t>
      </w:r>
      <w:r>
        <w:rPr>
          <w:rFonts w:ascii="Times New Roman" w:eastAsia="Arial Unicode MS" w:hAnsi="Times New Roman" w:cs="Times New Roman"/>
          <w:sz w:val="24"/>
          <w:szCs w:val="24"/>
        </w:rPr>
        <w:t>exposed to biologic therapy</w:t>
      </w:r>
      <w:r>
        <w:rPr>
          <w:rFonts w:ascii="Times New Roman" w:hAnsi="Times New Roman" w:cs="Times New Roman"/>
          <w:sz w:val="24"/>
          <w:szCs w:val="24"/>
        </w:rPr>
        <w:t xml:space="preserve"> </w:t>
      </w:r>
      <w:r>
        <w:rPr>
          <w:rFonts w:ascii="Times New Roman" w:eastAsia="Arial Unicode MS" w:hAnsi="Times New Roman" w:cs="Times New Roman"/>
          <w:sz w:val="24"/>
          <w:szCs w:val="24"/>
        </w:rPr>
        <w:t>via a meta-analysis of observational studies.</w:t>
      </w:r>
    </w:p>
    <w:p w14:paraId="3B21402C" w14:textId="77777777" w:rsidR="00D77AA1" w:rsidRDefault="00D77AA1" w:rsidP="00D77AA1">
      <w:pPr>
        <w:spacing w:line="36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Methods:</w:t>
      </w:r>
      <w:r>
        <w:rPr>
          <w:rFonts w:ascii="Times New Roman" w:eastAsia="Arial Unicode MS" w:hAnsi="Times New Roman" w:cs="Times New Roman"/>
          <w:sz w:val="24"/>
          <w:szCs w:val="24"/>
        </w:rPr>
        <w:t xml:space="preserve"> Separate searches were performed of PubMed, EMBASE, and Cochrane Library (from inception through March 2019) and conference proceedings (2016-2018) for observational studies reporting cancer incidence or recurrence in patients with RA and a prior malignancy treated with biologics and conventional synthetic DMARDs (</w:t>
      </w:r>
      <w:proofErr w:type="spellStart"/>
      <w:r>
        <w:rPr>
          <w:rFonts w:ascii="Times New Roman" w:eastAsia="Arial Unicode MS" w:hAnsi="Times New Roman" w:cs="Times New Roman"/>
          <w:sz w:val="24"/>
          <w:szCs w:val="24"/>
        </w:rPr>
        <w:t>csDMARDs</w:t>
      </w:r>
      <w:proofErr w:type="spellEnd"/>
      <w:r>
        <w:rPr>
          <w:rFonts w:ascii="Times New Roman" w:eastAsia="Arial Unicode MS" w:hAnsi="Times New Roman" w:cs="Times New Roman"/>
          <w:sz w:val="24"/>
          <w:szCs w:val="24"/>
        </w:rPr>
        <w:t>). Mantel-</w:t>
      </w:r>
      <w:proofErr w:type="spellStart"/>
      <w:r>
        <w:rPr>
          <w:rFonts w:ascii="Times New Roman" w:eastAsia="Arial Unicode MS" w:hAnsi="Times New Roman" w:cs="Times New Roman"/>
          <w:sz w:val="24"/>
          <w:szCs w:val="24"/>
        </w:rPr>
        <w:t>Haenszel</w:t>
      </w:r>
      <w:proofErr w:type="spellEnd"/>
      <w:r>
        <w:rPr>
          <w:rFonts w:ascii="Times New Roman" w:eastAsia="Arial Unicode MS" w:hAnsi="Times New Roman" w:cs="Times New Roman"/>
          <w:sz w:val="24"/>
          <w:szCs w:val="24"/>
        </w:rPr>
        <w:t xml:space="preserve"> fixed-effects method was conducted to calculate relative risk (RR) and 95% confidence interval (CI). </w:t>
      </w:r>
    </w:p>
    <w:p w14:paraId="5F9462AE" w14:textId="4E18AF42" w:rsidR="00D77AA1" w:rsidRPr="00DC75B8" w:rsidRDefault="00D77AA1" w:rsidP="00D77AA1">
      <w:pPr>
        <w:spacing w:line="36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 xml:space="preserve">Results: </w:t>
      </w:r>
      <w:r w:rsidRPr="00845170">
        <w:rPr>
          <w:rFonts w:ascii="Times New Roman" w:eastAsia="Arial Unicode MS" w:hAnsi="Times New Roman" w:cs="Times New Roman"/>
          <w:sz w:val="24"/>
          <w:szCs w:val="24"/>
        </w:rPr>
        <w:t>A tot</w:t>
      </w:r>
      <w:r w:rsidRPr="00DB2AF9">
        <w:rPr>
          <w:rFonts w:ascii="Times New Roman" w:eastAsia="Arial Unicode MS" w:hAnsi="Times New Roman" w:cs="Times New Roman"/>
          <w:sz w:val="24"/>
          <w:szCs w:val="24"/>
        </w:rPr>
        <w:t xml:space="preserve">al of 12 studies involving 13,598 patients and 32,473 patient-years of </w:t>
      </w:r>
      <w:proofErr w:type="spellStart"/>
      <w:r w:rsidRPr="00DB2AF9">
        <w:rPr>
          <w:rFonts w:ascii="Times New Roman" w:eastAsia="Arial Unicode MS" w:hAnsi="Times New Roman" w:cs="Times New Roman"/>
          <w:sz w:val="24"/>
          <w:szCs w:val="24"/>
        </w:rPr>
        <w:t>followup</w:t>
      </w:r>
      <w:proofErr w:type="spellEnd"/>
      <w:r w:rsidRPr="00DB2AF9">
        <w:rPr>
          <w:rFonts w:ascii="Times New Roman" w:eastAsia="Arial Unicode MS" w:hAnsi="Times New Roman" w:cs="Times New Roman"/>
          <w:sz w:val="24"/>
          <w:szCs w:val="24"/>
        </w:rPr>
        <w:t xml:space="preserve"> were included</w:t>
      </w:r>
      <w:r>
        <w:rPr>
          <w:rFonts w:ascii="Times New Roman" w:eastAsia="Arial Unicode MS" w:hAnsi="Times New Roman" w:cs="Times New Roman"/>
          <w:sz w:val="24"/>
          <w:szCs w:val="24"/>
        </w:rPr>
        <w:t xml:space="preserve"> (Figure 1)</w:t>
      </w:r>
      <w:r w:rsidRPr="00DB2AF9">
        <w:rPr>
          <w:rFonts w:ascii="Times New Roman" w:eastAsia="Arial Unicode MS" w:hAnsi="Times New Roman" w:cs="Times New Roman"/>
          <w:sz w:val="24"/>
          <w:szCs w:val="24"/>
        </w:rPr>
        <w:t>.</w:t>
      </w:r>
      <w:r w:rsidRPr="0084517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Absolute r</w:t>
      </w:r>
      <w:r w:rsidRPr="00845170">
        <w:rPr>
          <w:rFonts w:ascii="Times New Roman" w:eastAsia="Arial Unicode MS" w:hAnsi="Times New Roman" w:cs="Times New Roman"/>
          <w:sz w:val="24"/>
          <w:szCs w:val="24"/>
        </w:rPr>
        <w:t>ates of new and recurrent cancer were similar among individuals receiving b</w:t>
      </w:r>
      <w:r w:rsidRPr="003872FC">
        <w:rPr>
          <w:rFonts w:ascii="Times New Roman" w:eastAsia="Arial Unicode MS" w:hAnsi="Times New Roman" w:cs="Times New Roman"/>
          <w:sz w:val="24"/>
          <w:szCs w:val="24"/>
        </w:rPr>
        <w:t xml:space="preserve">iologics (TNF inhibitors: 34.2/1000 patient-years, rituximab: 32.3/1000 patient-years, anakinra: 32.3/1000 patient-years) and </w:t>
      </w:r>
      <w:proofErr w:type="spellStart"/>
      <w:r w:rsidRPr="003872FC">
        <w:rPr>
          <w:rFonts w:ascii="Times New Roman" w:eastAsia="Arial Unicode MS" w:hAnsi="Times New Roman" w:cs="Times New Roman"/>
          <w:sz w:val="24"/>
          <w:szCs w:val="24"/>
        </w:rPr>
        <w:t>csDMARDs</w:t>
      </w:r>
      <w:proofErr w:type="spellEnd"/>
      <w:r w:rsidRPr="003872FC">
        <w:rPr>
          <w:rFonts w:ascii="Times New Roman" w:eastAsia="Arial Unicode MS" w:hAnsi="Times New Roman" w:cs="Times New Roman"/>
          <w:sz w:val="24"/>
          <w:szCs w:val="24"/>
        </w:rPr>
        <w:t xml:space="preserve"> (31.8/1000 patient-years). </w:t>
      </w:r>
      <w:r>
        <w:rPr>
          <w:rFonts w:ascii="Times New Roman" w:eastAsia="Arial Unicode MS" w:hAnsi="Times New Roman" w:cs="Times New Roman"/>
          <w:sz w:val="24"/>
          <w:szCs w:val="24"/>
        </w:rPr>
        <w:t>In t</w:t>
      </w:r>
      <w:r w:rsidRPr="000105E5">
        <w:rPr>
          <w:rFonts w:ascii="Times New Roman" w:eastAsia="Arial Unicode MS" w:hAnsi="Times New Roman" w:cs="Times New Roman"/>
          <w:sz w:val="24"/>
          <w:szCs w:val="24"/>
        </w:rPr>
        <w:t>he quantitative meta-analysis</w:t>
      </w:r>
      <w:r>
        <w:rPr>
          <w:rFonts w:ascii="Times New Roman" w:eastAsia="Arial Unicode MS" w:hAnsi="Times New Roman" w:cs="Times New Roman"/>
          <w:sz w:val="24"/>
          <w:szCs w:val="24"/>
        </w:rPr>
        <w:t>,</w:t>
      </w:r>
      <w:r w:rsidRPr="000105E5">
        <w:rPr>
          <w:rFonts w:ascii="Times New Roman" w:eastAsia="Arial Unicode MS" w:hAnsi="Times New Roman" w:cs="Times New Roman"/>
          <w:sz w:val="24"/>
          <w:szCs w:val="24"/>
        </w:rPr>
        <w:t xml:space="preserve"> </w:t>
      </w:r>
      <w:r w:rsidRPr="00845170">
        <w:rPr>
          <w:rFonts w:ascii="Times New Roman" w:eastAsia="Arial Unicode MS" w:hAnsi="Times New Roman" w:cs="Times New Roman"/>
          <w:sz w:val="24"/>
          <w:szCs w:val="24"/>
        </w:rPr>
        <w:t>biologic</w:t>
      </w:r>
      <w:r>
        <w:rPr>
          <w:rFonts w:ascii="Times New Roman" w:eastAsia="Arial Unicode MS" w:hAnsi="Times New Roman" w:cs="Times New Roman"/>
          <w:sz w:val="24"/>
          <w:szCs w:val="24"/>
        </w:rPr>
        <w:t xml:space="preserve">s were not associated with an </w:t>
      </w:r>
      <w:r w:rsidRPr="000105E5">
        <w:rPr>
          <w:rFonts w:ascii="Times New Roman" w:eastAsia="Arial Unicode MS" w:hAnsi="Times New Roman" w:cs="Times New Roman"/>
          <w:sz w:val="24"/>
          <w:szCs w:val="24"/>
        </w:rPr>
        <w:t>increased risk</w:t>
      </w:r>
      <w:r>
        <w:rPr>
          <w:rFonts w:ascii="Times New Roman" w:eastAsia="Arial Unicode MS" w:hAnsi="Times New Roman" w:cs="Times New Roman"/>
          <w:sz w:val="24"/>
          <w:szCs w:val="24"/>
        </w:rPr>
        <w:t xml:space="preserve"> of new caner and cancer recurrence </w:t>
      </w:r>
      <w:r>
        <w:rPr>
          <w:rFonts w:ascii="Times New Roman" w:eastAsia="Arial Unicode MS" w:hAnsi="Times New Roman" w:cs="Times New Roman" w:hint="eastAsia"/>
          <w:sz w:val="24"/>
          <w:szCs w:val="24"/>
        </w:rPr>
        <w:t>compared to</w:t>
      </w:r>
      <w:r w:rsidRPr="000105E5">
        <w:rPr>
          <w:rFonts w:ascii="Times New Roman" w:eastAsia="Arial Unicode MS" w:hAnsi="Times New Roman" w:cs="Times New Roman"/>
          <w:sz w:val="24"/>
          <w:szCs w:val="24"/>
        </w:rPr>
        <w:t xml:space="preserve"> </w:t>
      </w:r>
      <w:proofErr w:type="spellStart"/>
      <w:r w:rsidRPr="00845170">
        <w:rPr>
          <w:rFonts w:ascii="Times New Roman" w:eastAsia="Arial Unicode MS" w:hAnsi="Times New Roman" w:cs="Times New Roman"/>
          <w:sz w:val="24"/>
          <w:szCs w:val="24"/>
        </w:rPr>
        <w:t>c</w:t>
      </w:r>
      <w:r>
        <w:rPr>
          <w:rFonts w:ascii="Times New Roman" w:eastAsia="Arial Unicode MS" w:hAnsi="Times New Roman" w:cs="Times New Roman" w:hint="eastAsia"/>
          <w:sz w:val="24"/>
          <w:szCs w:val="24"/>
        </w:rPr>
        <w:t>s</w:t>
      </w:r>
      <w:r w:rsidRPr="00845170">
        <w:rPr>
          <w:rFonts w:ascii="Times New Roman" w:eastAsia="Arial Unicode MS" w:hAnsi="Times New Roman" w:cs="Times New Roman"/>
          <w:sz w:val="24"/>
          <w:szCs w:val="24"/>
        </w:rPr>
        <w:t>DMARDs</w:t>
      </w:r>
      <w:proofErr w:type="spellEnd"/>
      <w:r>
        <w:rPr>
          <w:rFonts w:ascii="Times New Roman" w:eastAsia="Arial Unicode MS" w:hAnsi="Times New Roman" w:cs="Times New Roman"/>
          <w:sz w:val="24"/>
          <w:szCs w:val="24"/>
        </w:rPr>
        <w:t xml:space="preserve"> in patients with RA and </w:t>
      </w:r>
      <w:r w:rsidRPr="00845170">
        <w:rPr>
          <w:rFonts w:ascii="Times New Roman" w:eastAsia="Arial Unicode MS" w:hAnsi="Times New Roman" w:cs="Times New Roman"/>
          <w:sz w:val="24"/>
          <w:szCs w:val="24"/>
        </w:rPr>
        <w:t>a prior cancer</w:t>
      </w:r>
      <w:r>
        <w:rPr>
          <w:rFonts w:ascii="Times New Roman" w:eastAsia="Arial Unicode MS" w:hAnsi="Times New Roman" w:cs="Times New Roman"/>
          <w:sz w:val="24"/>
          <w:szCs w:val="24"/>
        </w:rPr>
        <w:t xml:space="preserve"> (RR=0.95, 95% CI=0.83-1.09 for </w:t>
      </w:r>
      <w:r w:rsidRPr="00845170">
        <w:rPr>
          <w:rFonts w:ascii="Times New Roman" w:eastAsia="Arial Unicode MS" w:hAnsi="Times New Roman" w:cs="Times New Roman"/>
          <w:sz w:val="24"/>
          <w:szCs w:val="24"/>
        </w:rPr>
        <w:t>TNF</w:t>
      </w:r>
      <w:r>
        <w:rPr>
          <w:rFonts w:ascii="Times New Roman" w:eastAsia="Arial Unicode MS" w:hAnsi="Times New Roman" w:cs="Times New Roman"/>
          <w:sz w:val="24"/>
          <w:szCs w:val="24"/>
        </w:rPr>
        <w:t xml:space="preserve"> inhibitors; RR=0.89, 95% CI=0.52-1.53 for</w:t>
      </w:r>
      <w:r w:rsidRPr="0084517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r</w:t>
      </w:r>
      <w:r w:rsidRPr="00845170">
        <w:rPr>
          <w:rFonts w:ascii="Times New Roman" w:eastAsia="Arial Unicode MS" w:hAnsi="Times New Roman" w:cs="Times New Roman"/>
          <w:sz w:val="24"/>
          <w:szCs w:val="24"/>
        </w:rPr>
        <w:t>ituximab</w:t>
      </w:r>
      <w:r>
        <w:rPr>
          <w:rFonts w:ascii="Times New Roman" w:eastAsia="Arial Unicode MS" w:hAnsi="Times New Roman" w:cs="Times New Roman"/>
          <w:sz w:val="24"/>
          <w:szCs w:val="24"/>
        </w:rPr>
        <w:t>; RR=1.03, 95% CI=0.12-8.48 for</w:t>
      </w:r>
      <w:r w:rsidRPr="00845170">
        <w:rPr>
          <w:rFonts w:ascii="Times New Roman" w:eastAsia="Arial Unicode MS" w:hAnsi="Times New Roman" w:cs="Times New Roman"/>
          <w:sz w:val="24"/>
          <w:szCs w:val="24"/>
        </w:rPr>
        <w:t xml:space="preserve"> </w:t>
      </w:r>
      <w:r>
        <w:rPr>
          <w:rFonts w:ascii="Times New Roman" w:eastAsia="Arial Unicode MS" w:hAnsi="Times New Roman" w:cs="Times New Roman"/>
          <w:sz w:val="24"/>
          <w:szCs w:val="24"/>
        </w:rPr>
        <w:t>a</w:t>
      </w:r>
      <w:r w:rsidRPr="00845170">
        <w:rPr>
          <w:rFonts w:ascii="Times New Roman" w:eastAsia="Arial Unicode MS" w:hAnsi="Times New Roman" w:cs="Times New Roman"/>
          <w:sz w:val="24"/>
          <w:szCs w:val="24"/>
        </w:rPr>
        <w:t>nakinra</w:t>
      </w:r>
      <w:r>
        <w:rPr>
          <w:rFonts w:ascii="Times New Roman" w:eastAsia="Arial Unicode MS" w:hAnsi="Times New Roman" w:cs="Times New Roman"/>
          <w:sz w:val="24"/>
          <w:szCs w:val="24"/>
        </w:rPr>
        <w:t>) (Figure 2).</w:t>
      </w:r>
      <w:r w:rsidRPr="003B290B">
        <w:rPr>
          <w:rFonts w:ascii="Times New Roman" w:eastAsia="Arial Unicode MS" w:hAnsi="Times New Roman" w:cs="Times New Roman"/>
          <w:sz w:val="24"/>
          <w:szCs w:val="24"/>
        </w:rPr>
        <w:t xml:space="preserve"> </w:t>
      </w:r>
      <w:r>
        <w:rPr>
          <w:rFonts w:ascii="Times New Roman" w:eastAsia="Arial Unicode MS" w:hAnsi="Times New Roman" w:cs="Times New Roman"/>
          <w:kern w:val="0"/>
          <w:sz w:val="24"/>
          <w:szCs w:val="24"/>
        </w:rPr>
        <w:t xml:space="preserve">Secondary analyses of </w:t>
      </w:r>
      <w:r w:rsidRPr="0049293F">
        <w:rPr>
          <w:rFonts w:ascii="Times New Roman" w:eastAsia="Arial Unicode MS" w:hAnsi="Times New Roman" w:cs="Times New Roman"/>
          <w:kern w:val="0"/>
          <w:sz w:val="24"/>
          <w:szCs w:val="24"/>
        </w:rPr>
        <w:t xml:space="preserve">stratification of </w:t>
      </w:r>
      <w:r>
        <w:rPr>
          <w:rFonts w:ascii="Times New Roman" w:eastAsia="Arial Unicode MS" w:hAnsi="Times New Roman" w:cs="Times New Roman"/>
          <w:kern w:val="0"/>
          <w:sz w:val="24"/>
          <w:szCs w:val="24"/>
        </w:rPr>
        <w:t xml:space="preserve">cancer types, the interval between initiation of </w:t>
      </w:r>
      <w:proofErr w:type="spellStart"/>
      <w:r>
        <w:rPr>
          <w:rFonts w:ascii="Times New Roman" w:eastAsia="Arial Unicode MS" w:hAnsi="Times New Roman" w:cs="Times New Roman"/>
          <w:kern w:val="0"/>
          <w:sz w:val="24"/>
          <w:szCs w:val="24"/>
        </w:rPr>
        <w:t>TNFi</w:t>
      </w:r>
      <w:proofErr w:type="spellEnd"/>
      <w:r>
        <w:rPr>
          <w:rFonts w:ascii="Times New Roman" w:eastAsia="Arial Unicode MS" w:hAnsi="Times New Roman" w:cs="Times New Roman"/>
          <w:kern w:val="0"/>
          <w:sz w:val="24"/>
          <w:szCs w:val="24"/>
        </w:rPr>
        <w:t xml:space="preserve"> and prior cancer diagnosis, and duration of </w:t>
      </w:r>
      <w:proofErr w:type="spellStart"/>
      <w:r>
        <w:rPr>
          <w:rFonts w:ascii="Times New Roman" w:eastAsia="Arial Unicode MS" w:hAnsi="Times New Roman" w:cs="Times New Roman"/>
          <w:kern w:val="0"/>
          <w:sz w:val="24"/>
          <w:szCs w:val="24"/>
        </w:rPr>
        <w:t>TNFi</w:t>
      </w:r>
      <w:proofErr w:type="spellEnd"/>
      <w:r>
        <w:rPr>
          <w:rFonts w:ascii="Times New Roman" w:eastAsia="Arial Unicode MS" w:hAnsi="Times New Roman" w:cs="Times New Roman"/>
          <w:kern w:val="0"/>
          <w:sz w:val="24"/>
          <w:szCs w:val="24"/>
        </w:rPr>
        <w:t xml:space="preserve"> exposure, found similar results. </w:t>
      </w:r>
      <w:r w:rsidRPr="00DA73A5">
        <w:rPr>
          <w:rFonts w:ascii="Times New Roman" w:eastAsia="Arial Unicode MS" w:hAnsi="Times New Roman" w:cs="Times New Roman"/>
          <w:sz w:val="24"/>
          <w:szCs w:val="24"/>
        </w:rPr>
        <w:t>There was no evidence of statistical heterogeneity across the studies using I</w:t>
      </w:r>
      <w:r w:rsidRPr="00DA73A5">
        <w:rPr>
          <w:rFonts w:ascii="Times New Roman" w:eastAsia="Arial Unicode MS" w:hAnsi="Times New Roman" w:cs="Times New Roman"/>
          <w:sz w:val="24"/>
          <w:szCs w:val="24"/>
          <w:vertAlign w:val="superscript"/>
        </w:rPr>
        <w:t>2</w:t>
      </w:r>
      <w:r w:rsidRPr="00DA73A5">
        <w:rPr>
          <w:rFonts w:ascii="Times New Roman" w:eastAsia="Arial Unicode MS" w:hAnsi="Times New Roman" w:cs="Times New Roman"/>
          <w:sz w:val="24"/>
          <w:szCs w:val="24"/>
        </w:rPr>
        <w:t xml:space="preserve"> statistic.</w:t>
      </w:r>
    </w:p>
    <w:p w14:paraId="0D917B00" w14:textId="67EAC406" w:rsidR="00D77AA1" w:rsidRDefault="00D77AA1" w:rsidP="00D77AA1">
      <w:pPr>
        <w:spacing w:line="360" w:lineRule="auto"/>
        <w:rPr>
          <w:rFonts w:ascii="Times New Roman" w:eastAsia="Arial Unicode MS" w:hAnsi="Times New Roman" w:cs="Times New Roman"/>
          <w:sz w:val="24"/>
          <w:szCs w:val="24"/>
        </w:rPr>
      </w:pPr>
      <w:r>
        <w:rPr>
          <w:rFonts w:ascii="Times New Roman" w:eastAsia="Arial Unicode MS" w:hAnsi="Times New Roman" w:cs="Times New Roman"/>
          <w:b/>
          <w:sz w:val="24"/>
          <w:szCs w:val="24"/>
        </w:rPr>
        <w:t>Conclusion:</w:t>
      </w:r>
      <w:bookmarkStart w:id="0" w:name="_GoBack"/>
      <w:r>
        <w:rPr>
          <w:rFonts w:ascii="Times New Roman" w:eastAsia="Arial Unicode MS" w:hAnsi="Times New Roman" w:cs="Times New Roman"/>
          <w:sz w:val="24"/>
          <w:szCs w:val="24"/>
        </w:rPr>
        <w:t xml:space="preserve"> </w:t>
      </w:r>
      <w:r w:rsidRPr="00D77AA1">
        <w:rPr>
          <w:rFonts w:ascii="Times New Roman" w:eastAsia="Arial Unicode MS" w:hAnsi="Times New Roman" w:cs="Times New Roman"/>
          <w:sz w:val="24"/>
          <w:szCs w:val="24"/>
        </w:rPr>
        <w:t xml:space="preserve">Summary of best public datasets suggests that rheumatologists could </w:t>
      </w:r>
      <w:r w:rsidRPr="00D77AA1">
        <w:rPr>
          <w:rFonts w:ascii="Times New Roman" w:eastAsia="Arial Unicode MS" w:hAnsi="Times New Roman" w:cs="Times New Roman"/>
          <w:sz w:val="24"/>
          <w:szCs w:val="24"/>
        </w:rPr>
        <w:lastRenderedPageBreak/>
        <w:t xml:space="preserve">administer biologics in RA patients with uncontrolled disease activity and previous cancer, without additional fear of increased risk of cancer development. </w:t>
      </w:r>
      <w:r>
        <w:rPr>
          <w:rFonts w:ascii="Times New Roman" w:eastAsia="Arial Unicode MS" w:hAnsi="Times New Roman" w:cs="Times New Roman"/>
          <w:sz w:val="24"/>
          <w:szCs w:val="24"/>
        </w:rPr>
        <w:t>More investigations are warranted to explore the risk of cancer development in an individual cancer as well as determine optimal time to initiate biologic therapy after the diagnosis of cancer or completion of cancer treatment.</w:t>
      </w:r>
    </w:p>
    <w:bookmarkEnd w:id="0"/>
    <w:p w14:paraId="3400D101" w14:textId="77777777" w:rsidR="009834E8" w:rsidRPr="00D77AA1" w:rsidRDefault="009834E8"/>
    <w:sectPr w:rsidR="009834E8" w:rsidRPr="00D77A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8F8D1" w14:textId="77777777" w:rsidR="00FD2593" w:rsidRDefault="00FD2593" w:rsidP="00D77AA1">
      <w:r>
        <w:separator/>
      </w:r>
    </w:p>
  </w:endnote>
  <w:endnote w:type="continuationSeparator" w:id="0">
    <w:p w14:paraId="6C7A68AA" w14:textId="77777777" w:rsidR="00FD2593" w:rsidRDefault="00FD2593" w:rsidP="00D77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201A2" w14:textId="77777777" w:rsidR="00FD2593" w:rsidRDefault="00FD2593" w:rsidP="00D77AA1">
      <w:r>
        <w:separator/>
      </w:r>
    </w:p>
  </w:footnote>
  <w:footnote w:type="continuationSeparator" w:id="0">
    <w:p w14:paraId="5A95FF1B" w14:textId="77777777" w:rsidR="00FD2593" w:rsidRDefault="00FD2593" w:rsidP="00D77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1B5F7B"/>
    <w:multiLevelType w:val="hybridMultilevel"/>
    <w:tmpl w:val="42504B4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BD2"/>
    <w:rsid w:val="00201ACC"/>
    <w:rsid w:val="003414AB"/>
    <w:rsid w:val="00375A46"/>
    <w:rsid w:val="00486EF9"/>
    <w:rsid w:val="00546225"/>
    <w:rsid w:val="005E3BD2"/>
    <w:rsid w:val="0090020B"/>
    <w:rsid w:val="009318D9"/>
    <w:rsid w:val="009834E8"/>
    <w:rsid w:val="00AB0A5C"/>
    <w:rsid w:val="00D77AA1"/>
    <w:rsid w:val="00FD25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E57D5"/>
  <w15:chartTrackingRefBased/>
  <w15:docId w15:val="{88520C2F-C4E2-4917-A1F4-25C63587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7A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7AA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77AA1"/>
    <w:rPr>
      <w:sz w:val="18"/>
      <w:szCs w:val="18"/>
    </w:rPr>
  </w:style>
  <w:style w:type="paragraph" w:styleId="a5">
    <w:name w:val="footer"/>
    <w:basedOn w:val="a"/>
    <w:link w:val="a6"/>
    <w:uiPriority w:val="99"/>
    <w:unhideWhenUsed/>
    <w:rsid w:val="00D77AA1"/>
    <w:pPr>
      <w:tabs>
        <w:tab w:val="center" w:pos="4153"/>
        <w:tab w:val="right" w:pos="8306"/>
      </w:tabs>
      <w:snapToGrid w:val="0"/>
      <w:jc w:val="left"/>
    </w:pPr>
    <w:rPr>
      <w:sz w:val="18"/>
      <w:szCs w:val="18"/>
    </w:rPr>
  </w:style>
  <w:style w:type="character" w:customStyle="1" w:styleId="a6">
    <w:name w:val="页脚 字符"/>
    <w:basedOn w:val="a0"/>
    <w:link w:val="a5"/>
    <w:uiPriority w:val="99"/>
    <w:rsid w:val="00D77AA1"/>
    <w:rPr>
      <w:sz w:val="18"/>
      <w:szCs w:val="18"/>
    </w:rPr>
  </w:style>
  <w:style w:type="paragraph" w:styleId="a7">
    <w:name w:val="List Paragraph"/>
    <w:basedOn w:val="a"/>
    <w:uiPriority w:val="34"/>
    <w:qFormat/>
    <w:rsid w:val="00D77AA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085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Wenhui Xie</dc:creator>
  <cp:keywords/>
  <dc:description/>
  <cp:lastModifiedBy>Wenhui Xie</cp:lastModifiedBy>
  <cp:revision>7</cp:revision>
  <dcterms:created xsi:type="dcterms:W3CDTF">2019-06-09T02:40:00Z</dcterms:created>
  <dcterms:modified xsi:type="dcterms:W3CDTF">2019-06-09T06:09:00Z</dcterms:modified>
</cp:coreProperties>
</file>