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542E" w:rsidRDefault="00BF542E" w:rsidP="00BF542E">
      <w:pPr>
        <w:widowControl/>
        <w:autoSpaceDE w:val="0"/>
        <w:autoSpaceDN w:val="0"/>
        <w:spacing w:line="360" w:lineRule="auto"/>
        <w:textAlignment w:val="baseline"/>
        <w:rPr>
          <w:rFonts w:ascii="Times New Roman" w:eastAsia="Gulim" w:hAnsi="Times New Roman" w:cs="Times New Roman"/>
          <w:b/>
          <w:color w:val="2F5496"/>
          <w:sz w:val="24"/>
          <w:szCs w:val="24"/>
          <w:lang w:eastAsia="ko-KR"/>
        </w:rPr>
      </w:pPr>
      <w:r w:rsidRPr="00BF542E">
        <w:rPr>
          <w:rFonts w:ascii="Times New Roman" w:eastAsia="Gulim" w:hAnsi="Times New Roman" w:cs="Times New Roman"/>
          <w:b/>
          <w:color w:val="2F5496"/>
          <w:sz w:val="24"/>
          <w:szCs w:val="24"/>
          <w:lang w:eastAsia="ko-KR"/>
        </w:rPr>
        <w:t>Effects of intermittent feeding regimes on growth performance and economic benefits of Amur catfish (</w:t>
      </w:r>
      <w:proofErr w:type="spellStart"/>
      <w:r w:rsidRPr="00BF542E">
        <w:rPr>
          <w:rFonts w:ascii="Times New Roman" w:eastAsia="Gulim" w:hAnsi="Times New Roman" w:cs="Times New Roman"/>
          <w:b/>
          <w:i/>
          <w:color w:val="2F5496"/>
          <w:sz w:val="24"/>
          <w:szCs w:val="24"/>
          <w:lang w:eastAsia="ko-KR"/>
        </w:rPr>
        <w:t>Silurus</w:t>
      </w:r>
      <w:proofErr w:type="spellEnd"/>
      <w:r w:rsidRPr="00BF542E">
        <w:rPr>
          <w:rFonts w:ascii="Times New Roman" w:eastAsia="Gulim" w:hAnsi="Times New Roman" w:cs="Times New Roman"/>
          <w:b/>
          <w:i/>
          <w:color w:val="2F5496"/>
          <w:sz w:val="24"/>
          <w:szCs w:val="24"/>
          <w:lang w:eastAsia="ko-KR"/>
        </w:rPr>
        <w:t xml:space="preserve"> </w:t>
      </w:r>
      <w:proofErr w:type="spellStart"/>
      <w:r w:rsidRPr="00BF542E">
        <w:rPr>
          <w:rFonts w:ascii="Times New Roman" w:eastAsia="Gulim" w:hAnsi="Times New Roman" w:cs="Times New Roman"/>
          <w:b/>
          <w:i/>
          <w:color w:val="2F5496"/>
          <w:sz w:val="24"/>
          <w:szCs w:val="24"/>
          <w:lang w:eastAsia="ko-KR"/>
        </w:rPr>
        <w:t>asotus</w:t>
      </w:r>
      <w:proofErr w:type="spellEnd"/>
      <w:r w:rsidRPr="00BF542E">
        <w:rPr>
          <w:rFonts w:ascii="Times New Roman" w:eastAsia="Gulim" w:hAnsi="Times New Roman" w:cs="Times New Roman"/>
          <w:b/>
          <w:color w:val="2F5496"/>
          <w:sz w:val="24"/>
          <w:szCs w:val="24"/>
          <w:lang w:eastAsia="ko-KR"/>
        </w:rPr>
        <w:t>)</w:t>
      </w:r>
    </w:p>
    <w:p w:rsidR="00CD0466" w:rsidRDefault="00CD0466" w:rsidP="00BF542E">
      <w:pPr>
        <w:widowControl/>
        <w:autoSpaceDE w:val="0"/>
        <w:autoSpaceDN w:val="0"/>
        <w:spacing w:line="360" w:lineRule="auto"/>
        <w:textAlignment w:val="baseline"/>
        <w:rPr>
          <w:rFonts w:ascii="Times New Roman" w:eastAsia="Gulim" w:hAnsi="Times New Roman" w:cs="Times New Roman"/>
          <w:b/>
          <w:color w:val="2F5496"/>
          <w:sz w:val="24"/>
          <w:szCs w:val="24"/>
          <w:lang w:eastAsia="ko-KR"/>
        </w:rPr>
      </w:pPr>
    </w:p>
    <w:p w:rsidR="00CD0466" w:rsidRPr="00BF542E" w:rsidRDefault="00CD0466" w:rsidP="00BF542E">
      <w:pPr>
        <w:widowControl/>
        <w:autoSpaceDE w:val="0"/>
        <w:autoSpaceDN w:val="0"/>
        <w:spacing w:line="360" w:lineRule="auto"/>
        <w:textAlignment w:val="baseline"/>
        <w:rPr>
          <w:rFonts w:ascii="Times New Roman" w:eastAsia="Gulim" w:hAnsi="Times New Roman" w:cs="Times New Roman"/>
          <w:b/>
          <w:color w:val="000000"/>
          <w:sz w:val="24"/>
          <w:szCs w:val="24"/>
          <w:lang w:eastAsia="ko-KR"/>
        </w:rPr>
      </w:pPr>
      <w:r>
        <w:rPr>
          <w:rFonts w:ascii="Times New Roman" w:eastAsia="Gulim" w:hAnsi="Times New Roman" w:cs="Times New Roman"/>
          <w:b/>
          <w:color w:val="2F5496"/>
          <w:sz w:val="24"/>
          <w:szCs w:val="24"/>
          <w:lang w:eastAsia="ko-KR"/>
        </w:rPr>
        <w:t xml:space="preserve">Gladys </w:t>
      </w:r>
      <w:proofErr w:type="spellStart"/>
      <w:r>
        <w:rPr>
          <w:rFonts w:ascii="Times New Roman" w:eastAsia="Gulim" w:hAnsi="Times New Roman" w:cs="Times New Roman"/>
          <w:b/>
          <w:color w:val="2F5496"/>
          <w:sz w:val="24"/>
          <w:szCs w:val="24"/>
          <w:lang w:eastAsia="ko-KR"/>
        </w:rPr>
        <w:t>Mwaka</w:t>
      </w:r>
      <w:proofErr w:type="spellEnd"/>
      <w:r>
        <w:rPr>
          <w:rFonts w:ascii="Times New Roman" w:eastAsia="Gulim" w:hAnsi="Times New Roman" w:cs="Times New Roman"/>
          <w:b/>
          <w:color w:val="2F5496"/>
          <w:sz w:val="24"/>
          <w:szCs w:val="24"/>
          <w:lang w:eastAsia="ko-KR"/>
        </w:rPr>
        <w:t xml:space="preserve"> </w:t>
      </w:r>
      <w:proofErr w:type="spellStart"/>
      <w:r>
        <w:rPr>
          <w:rFonts w:ascii="Times New Roman" w:eastAsia="Gulim" w:hAnsi="Times New Roman" w:cs="Times New Roman"/>
          <w:b/>
          <w:color w:val="2F5496"/>
          <w:sz w:val="24"/>
          <w:szCs w:val="24"/>
          <w:lang w:eastAsia="ko-KR"/>
        </w:rPr>
        <w:t>Holeh</w:t>
      </w:r>
      <w:proofErr w:type="spellEnd"/>
    </w:p>
    <w:p w:rsidR="008D4604" w:rsidRPr="008D4604" w:rsidRDefault="008D4604" w:rsidP="008D4604">
      <w:pPr>
        <w:widowControl/>
        <w:autoSpaceDE w:val="0"/>
        <w:autoSpaceDN w:val="0"/>
        <w:spacing w:line="276" w:lineRule="auto"/>
        <w:contextualSpacing/>
        <w:textAlignment w:val="baseline"/>
        <w:rPr>
          <w:rFonts w:ascii="Times New Roman" w:eastAsia="Gulim" w:hAnsi="Times New Roman" w:cs="Times New Roman"/>
          <w:color w:val="000000"/>
          <w:sz w:val="24"/>
          <w:szCs w:val="24"/>
        </w:rPr>
      </w:pPr>
      <w:bookmarkStart w:id="0" w:name="_GoBack"/>
      <w:bookmarkEnd w:id="0"/>
      <w:r w:rsidRPr="008D4604">
        <w:rPr>
          <w:rFonts w:ascii="Times New Roman" w:eastAsia="Gulim" w:hAnsi="Times New Roman" w:cs="Times New Roman"/>
          <w:color w:val="000000"/>
          <w:sz w:val="24"/>
          <w:szCs w:val="24"/>
        </w:rPr>
        <w:t xml:space="preserve">Kenya Marine </w:t>
      </w:r>
      <w:r w:rsidRPr="008D4604">
        <w:rPr>
          <w:rFonts w:ascii="Times New Roman" w:hAnsi="Times New Roman"/>
          <w:sz w:val="24"/>
          <w:szCs w:val="24"/>
          <w:lang w:val="it-IT"/>
        </w:rPr>
        <w:t xml:space="preserve">&amp; </w:t>
      </w:r>
      <w:r w:rsidRPr="008D4604">
        <w:rPr>
          <w:rFonts w:ascii="Times New Roman" w:eastAsia="Gulim" w:hAnsi="Times New Roman" w:cs="Times New Roman"/>
          <w:color w:val="000000"/>
          <w:sz w:val="24"/>
          <w:szCs w:val="24"/>
        </w:rPr>
        <w:t>Fisheries Research Institute, P.O. Box 81651-80100, Mombasa, Kenya.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E3E37" w:rsidP="008D4604">
      <w:pPr>
        <w:pStyle w:val="Heading3"/>
        <w:spacing w:before="147"/>
        <w:ind w:left="0"/>
        <w:jc w:val="both"/>
      </w:pPr>
    </w:p>
    <w:p w:rsidR="00BF542E" w:rsidRPr="00BF542E" w:rsidRDefault="00BF542E" w:rsidP="00BF542E">
      <w:pPr>
        <w:widowControl/>
        <w:spacing w:after="160" w:line="259" w:lineRule="auto"/>
        <w:jc w:val="both"/>
        <w:rPr>
          <w:rFonts w:ascii="Calibri" w:eastAsia="Malgun Gothic" w:hAnsi="Calibri" w:cs="Times New Roman"/>
          <w:sz w:val="24"/>
          <w:szCs w:val="24"/>
          <w:lang w:eastAsia="ko-KR"/>
        </w:rPr>
      </w:pPr>
      <w:r w:rsidRPr="00BF542E">
        <w:rPr>
          <w:rFonts w:ascii="Calibri" w:eastAsia="Malgun Gothic" w:hAnsi="Calibri" w:cs="Times New Roman"/>
          <w:sz w:val="24"/>
          <w:szCs w:val="24"/>
          <w:lang w:eastAsia="ko-KR"/>
        </w:rPr>
        <w:t>A study was conducted to determine the growth performance and economic viability of culturing Amur Catfish (</w:t>
      </w:r>
      <w:proofErr w:type="spellStart"/>
      <w:r w:rsidRPr="00BF542E">
        <w:rPr>
          <w:rFonts w:ascii="Calibri" w:eastAsia="Malgun Gothic" w:hAnsi="Calibri" w:cs="Times New Roman"/>
          <w:i/>
          <w:iCs/>
          <w:sz w:val="24"/>
          <w:szCs w:val="24"/>
          <w:lang w:eastAsia="ko-KR"/>
        </w:rPr>
        <w:t>Silurus</w:t>
      </w:r>
      <w:proofErr w:type="spellEnd"/>
      <w:r w:rsidRPr="00BF542E">
        <w:rPr>
          <w:rFonts w:ascii="Calibri" w:eastAsia="Malgun Gothic" w:hAnsi="Calibri" w:cs="Times New Roman"/>
          <w:i/>
          <w:iCs/>
          <w:sz w:val="24"/>
          <w:szCs w:val="24"/>
          <w:lang w:eastAsia="ko-KR"/>
        </w:rPr>
        <w:t xml:space="preserve"> </w:t>
      </w:r>
      <w:proofErr w:type="spellStart"/>
      <w:r w:rsidRPr="00BF542E">
        <w:rPr>
          <w:rFonts w:ascii="Calibri" w:eastAsia="Malgun Gothic" w:hAnsi="Calibri" w:cs="Times New Roman"/>
          <w:i/>
          <w:iCs/>
          <w:sz w:val="24"/>
          <w:szCs w:val="24"/>
          <w:lang w:eastAsia="ko-KR"/>
        </w:rPr>
        <w:t>asotus</w:t>
      </w:r>
      <w:proofErr w:type="spellEnd"/>
      <w:r w:rsidRPr="00BF542E">
        <w:rPr>
          <w:rFonts w:ascii="Calibri" w:eastAsia="Malgun Gothic" w:hAnsi="Calibri" w:cs="Times New Roman"/>
          <w:sz w:val="24"/>
          <w:szCs w:val="24"/>
          <w:lang w:eastAsia="ko-KR"/>
        </w:rPr>
        <w:t xml:space="preserve">) using four different feeding regimes: Every-day feeding (EDF), Every two-days feeding (ETDF), Tertian feeding (TF) and </w:t>
      </w:r>
      <w:proofErr w:type="spellStart"/>
      <w:r w:rsidRPr="00BF542E">
        <w:rPr>
          <w:rFonts w:ascii="Calibri" w:eastAsia="Malgun Gothic" w:hAnsi="Calibri" w:cs="Times New Roman"/>
          <w:sz w:val="24"/>
          <w:szCs w:val="24"/>
          <w:lang w:eastAsia="ko-KR"/>
        </w:rPr>
        <w:t>Quartan</w:t>
      </w:r>
      <w:proofErr w:type="spellEnd"/>
      <w:r w:rsidRPr="00BF542E">
        <w:rPr>
          <w:rFonts w:ascii="Calibri" w:eastAsia="Malgun Gothic" w:hAnsi="Calibri" w:cs="Times New Roman"/>
          <w:sz w:val="24"/>
          <w:szCs w:val="24"/>
          <w:lang w:eastAsia="ko-KR"/>
        </w:rPr>
        <w:t xml:space="preserve"> feeding (QF) for 65 days. Twenty fingerlings of sizes between 2-3 grams each were randomly distributed in 12 glass aquaria and assigned to each of the feeding regime in triplicates. Fish were fed on commercial feed (Woosung feed) containing 50% crude protein. Highest specific growth rates (SGR) (5.15 ±0.06%) was recorded in EDF with significance differences in all treatments (</w:t>
      </w:r>
      <w:r w:rsidRPr="00BF542E">
        <w:rPr>
          <w:rFonts w:ascii="Calibri" w:eastAsia="Malgun Gothic" w:hAnsi="Calibri" w:cs="Times New Roman"/>
          <w:i/>
          <w:iCs/>
          <w:sz w:val="24"/>
          <w:szCs w:val="24"/>
          <w:lang w:eastAsia="ko-KR"/>
        </w:rPr>
        <w:t xml:space="preserve">P </w:t>
      </w:r>
      <w:r w:rsidRPr="00BF542E">
        <w:rPr>
          <w:rFonts w:ascii="Calibri" w:eastAsia="Malgun Gothic" w:hAnsi="Calibri" w:cs="Times New Roman"/>
          <w:sz w:val="24"/>
          <w:szCs w:val="24"/>
          <w:lang w:eastAsia="ko-KR"/>
        </w:rPr>
        <w:t>˃ 0.05). Feed conversion ratio (FCR) was significantly lower in TF (</w:t>
      </w:r>
      <w:r w:rsidRPr="00BF542E">
        <w:rPr>
          <w:rFonts w:ascii="Calibri" w:eastAsia="Malgun Gothic" w:hAnsi="Calibri" w:cs="Times New Roman"/>
          <w:i/>
          <w:iCs/>
          <w:sz w:val="24"/>
          <w:szCs w:val="24"/>
          <w:lang w:eastAsia="ko-KR"/>
        </w:rPr>
        <w:t xml:space="preserve">P </w:t>
      </w:r>
      <w:r w:rsidRPr="00BF542E">
        <w:rPr>
          <w:rFonts w:ascii="Calibri" w:eastAsia="Malgun Gothic" w:hAnsi="Calibri" w:cs="Times New Roman"/>
          <w:sz w:val="24"/>
          <w:szCs w:val="24"/>
          <w:lang w:eastAsia="ko-KR"/>
        </w:rPr>
        <w:t>˂ 0.05) while survival rate ranged from 83.33% to 96.67% and was not significantly different among the treatments (</w:t>
      </w:r>
      <w:r w:rsidRPr="00BF542E">
        <w:rPr>
          <w:rFonts w:ascii="Calibri" w:eastAsia="Malgun Gothic" w:hAnsi="Calibri" w:cs="Times New Roman"/>
          <w:i/>
          <w:iCs/>
          <w:sz w:val="24"/>
          <w:szCs w:val="24"/>
          <w:lang w:eastAsia="ko-KR"/>
        </w:rPr>
        <w:t xml:space="preserve">P </w:t>
      </w:r>
      <w:r w:rsidRPr="00BF542E">
        <w:rPr>
          <w:rFonts w:ascii="Calibri" w:eastAsia="Malgun Gothic" w:hAnsi="Calibri" w:cs="Times New Roman"/>
          <w:sz w:val="24"/>
          <w:szCs w:val="24"/>
          <w:lang w:eastAsia="ko-KR"/>
        </w:rPr>
        <w:t xml:space="preserve">&gt; 0.05). The length-weight relationship (LWR) analysis indicated that the regression slope </w:t>
      </w:r>
      <w:r w:rsidRPr="00BF542E">
        <w:rPr>
          <w:rFonts w:ascii="Calibri" w:eastAsia="Malgun Gothic" w:hAnsi="Calibri" w:cs="Times New Roman"/>
          <w:i/>
          <w:iCs/>
          <w:sz w:val="24"/>
          <w:szCs w:val="24"/>
          <w:lang w:eastAsia="ko-KR"/>
        </w:rPr>
        <w:t xml:space="preserve">b </w:t>
      </w:r>
      <w:r w:rsidRPr="00BF542E">
        <w:rPr>
          <w:rFonts w:ascii="Calibri" w:eastAsia="Malgun Gothic" w:hAnsi="Calibri" w:cs="Times New Roman"/>
          <w:sz w:val="24"/>
          <w:szCs w:val="24"/>
          <w:lang w:eastAsia="ko-KR"/>
        </w:rPr>
        <w:t>values were not significantly different (</w:t>
      </w:r>
      <w:r w:rsidRPr="00BF542E">
        <w:rPr>
          <w:rFonts w:ascii="Calibri" w:eastAsia="Malgun Gothic" w:hAnsi="Calibri" w:cs="Times New Roman"/>
          <w:i/>
          <w:iCs/>
          <w:sz w:val="24"/>
          <w:szCs w:val="24"/>
          <w:lang w:eastAsia="ko-KR"/>
        </w:rPr>
        <w:t xml:space="preserve">P </w:t>
      </w:r>
      <w:r w:rsidRPr="00BF542E">
        <w:rPr>
          <w:rFonts w:ascii="Calibri" w:eastAsia="Malgun Gothic" w:hAnsi="Calibri" w:cs="Times New Roman"/>
          <w:sz w:val="24"/>
          <w:szCs w:val="24"/>
          <w:lang w:eastAsia="ko-KR"/>
        </w:rPr>
        <w:t xml:space="preserve">&gt; 0.05) among the treatments. Partial enterprise budget analysis of </w:t>
      </w:r>
      <w:r w:rsidRPr="00BF542E">
        <w:rPr>
          <w:rFonts w:ascii="Calibri" w:eastAsia="Malgun Gothic" w:hAnsi="Calibri" w:cs="Times New Roman"/>
          <w:i/>
          <w:iCs/>
          <w:sz w:val="24"/>
          <w:szCs w:val="24"/>
          <w:lang w:eastAsia="ko-KR"/>
        </w:rPr>
        <w:t xml:space="preserve">S. </w:t>
      </w:r>
      <w:proofErr w:type="spellStart"/>
      <w:r w:rsidRPr="00BF542E">
        <w:rPr>
          <w:rFonts w:ascii="Calibri" w:eastAsia="Malgun Gothic" w:hAnsi="Calibri" w:cs="Times New Roman"/>
          <w:i/>
          <w:iCs/>
          <w:sz w:val="24"/>
          <w:szCs w:val="24"/>
          <w:lang w:eastAsia="ko-KR"/>
        </w:rPr>
        <w:t>asotus</w:t>
      </w:r>
      <w:proofErr w:type="spellEnd"/>
      <w:r w:rsidRPr="00BF542E">
        <w:rPr>
          <w:rFonts w:ascii="Calibri" w:eastAsia="Malgun Gothic" w:hAnsi="Calibri" w:cs="Times New Roman"/>
          <w:i/>
          <w:iCs/>
          <w:sz w:val="24"/>
          <w:szCs w:val="24"/>
          <w:lang w:eastAsia="ko-KR"/>
        </w:rPr>
        <w:t xml:space="preserve"> </w:t>
      </w:r>
      <w:r w:rsidRPr="00BF542E">
        <w:rPr>
          <w:rFonts w:ascii="Calibri" w:eastAsia="Malgun Gothic" w:hAnsi="Calibri" w:cs="Times New Roman"/>
          <w:sz w:val="24"/>
          <w:szCs w:val="24"/>
          <w:lang w:eastAsia="ko-KR"/>
        </w:rPr>
        <w:t>using different feeding regimes indicated that net returns above total costs were significantly higher in EDF (</w:t>
      </w:r>
      <w:r w:rsidRPr="00BF542E">
        <w:rPr>
          <w:rFonts w:ascii="Calibri" w:eastAsia="Malgun Gothic" w:hAnsi="Calibri" w:cs="Times New Roman"/>
          <w:i/>
          <w:iCs/>
          <w:sz w:val="24"/>
          <w:szCs w:val="24"/>
          <w:lang w:eastAsia="ko-KR"/>
        </w:rPr>
        <w:t xml:space="preserve">P </w:t>
      </w:r>
      <w:r w:rsidRPr="00BF542E">
        <w:rPr>
          <w:rFonts w:ascii="Calibri" w:eastAsia="Malgun Gothic" w:hAnsi="Calibri" w:cs="Times New Roman"/>
          <w:sz w:val="24"/>
          <w:szCs w:val="24"/>
          <w:lang w:eastAsia="ko-KR"/>
        </w:rPr>
        <w:t xml:space="preserve">˂ 0.05). This shows that every day feeding to satiation is the best feeding regime to be adopted for economic benefits of rearing Amur catfish. </w:t>
      </w:r>
    </w:p>
    <w:p w:rsidR="00BF542E" w:rsidRPr="00BF542E" w:rsidRDefault="00BF542E" w:rsidP="00BF542E">
      <w:pPr>
        <w:widowControl/>
        <w:spacing w:after="160" w:line="259" w:lineRule="auto"/>
        <w:jc w:val="both"/>
        <w:rPr>
          <w:rFonts w:ascii="Calibri" w:eastAsia="Malgun Gothic" w:hAnsi="Calibri" w:cs="Times New Roman"/>
          <w:sz w:val="24"/>
          <w:szCs w:val="24"/>
          <w:lang w:eastAsia="ko-KR"/>
        </w:rPr>
      </w:pPr>
      <w:r w:rsidRPr="00BF542E">
        <w:rPr>
          <w:rFonts w:ascii="Calibri" w:eastAsia="Malgun Gothic" w:hAnsi="Calibri" w:cs="Times New Roman"/>
          <w:b/>
          <w:bCs/>
          <w:sz w:val="24"/>
          <w:szCs w:val="24"/>
          <w:lang w:eastAsia="ko-KR"/>
        </w:rPr>
        <w:t xml:space="preserve">Keywords: </w:t>
      </w:r>
      <w:r w:rsidRPr="00BF542E">
        <w:rPr>
          <w:rFonts w:ascii="Calibri" w:eastAsia="Malgun Gothic" w:hAnsi="Calibri" w:cs="Times New Roman"/>
          <w:sz w:val="24"/>
          <w:szCs w:val="24"/>
          <w:lang w:eastAsia="ko-KR"/>
        </w:rPr>
        <w:t>Amur catfish, Feeding regimes, Alternate feeding, Bio-economy, Growth</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8D4604" w:rsidRDefault="008D4604" w:rsidP="008D4604">
      <w:pPr>
        <w:tabs>
          <w:tab w:val="left" w:pos="384"/>
        </w:tabs>
        <w:ind w:right="117"/>
        <w:jc w:val="both"/>
        <w:rPr>
          <w:rFonts w:ascii="Arial"/>
          <w:b/>
          <w:color w:val="BF5A14"/>
          <w:sz w:val="20"/>
        </w:rPr>
      </w:pPr>
      <w:r>
        <w:rPr>
          <w:rFonts w:ascii="Arial"/>
          <w:b/>
          <w:color w:val="BF5A14"/>
          <w:sz w:val="20"/>
        </w:rPr>
        <w:t>References</w:t>
      </w:r>
    </w:p>
    <w:p w:rsidR="008D4604" w:rsidRDefault="008D4604" w:rsidP="008D4604">
      <w:pPr>
        <w:tabs>
          <w:tab w:val="left" w:pos="384"/>
        </w:tabs>
        <w:ind w:right="117"/>
        <w:jc w:val="both"/>
        <w:rPr>
          <w:rFonts w:ascii="Arial"/>
          <w:b/>
          <w:color w:val="BF5A14"/>
          <w:sz w:val="20"/>
        </w:rPr>
      </w:pPr>
    </w:p>
    <w:p w:rsidR="008D4604" w:rsidRDefault="008D4604" w:rsidP="008D4604">
      <w:pPr>
        <w:tabs>
          <w:tab w:val="left" w:pos="384"/>
        </w:tabs>
        <w:ind w:right="117"/>
        <w:jc w:val="both"/>
      </w:pPr>
      <w:r w:rsidRPr="008D4604">
        <w:rPr>
          <w:b/>
          <w:bCs/>
        </w:rPr>
        <w:t>Abdel-</w:t>
      </w:r>
      <w:proofErr w:type="spellStart"/>
      <w:r w:rsidRPr="008D4604">
        <w:rPr>
          <w:b/>
          <w:bCs/>
        </w:rPr>
        <w:t>Tawwab</w:t>
      </w:r>
      <w:proofErr w:type="spellEnd"/>
      <w:r w:rsidRPr="008D4604">
        <w:rPr>
          <w:b/>
          <w:bCs/>
        </w:rPr>
        <w:t xml:space="preserve">, M., Ahmad, M.H. (2009). </w:t>
      </w:r>
      <w:r w:rsidRPr="008D4604">
        <w:t xml:space="preserve">Effect of dietary protein regime during the growing period on growth performance, feed utilization and whole-body chemical composition of Nile Tilapia, </w:t>
      </w:r>
      <w:proofErr w:type="spellStart"/>
      <w:r w:rsidRPr="008D4604">
        <w:rPr>
          <w:i/>
          <w:iCs/>
        </w:rPr>
        <w:t>Oreochromis</w:t>
      </w:r>
      <w:proofErr w:type="spellEnd"/>
      <w:r w:rsidRPr="008D4604">
        <w:rPr>
          <w:i/>
          <w:iCs/>
        </w:rPr>
        <w:t xml:space="preserve"> </w:t>
      </w:r>
      <w:proofErr w:type="spellStart"/>
      <w:r w:rsidRPr="008D4604">
        <w:rPr>
          <w:i/>
          <w:iCs/>
        </w:rPr>
        <w:t>niloticus</w:t>
      </w:r>
      <w:proofErr w:type="spellEnd"/>
      <w:r w:rsidRPr="008D4604">
        <w:rPr>
          <w:i/>
          <w:iCs/>
        </w:rPr>
        <w:t xml:space="preserve"> </w:t>
      </w:r>
      <w:r w:rsidRPr="008D4604">
        <w:t xml:space="preserve">(L.). </w:t>
      </w:r>
      <w:r w:rsidRPr="008D4604">
        <w:rPr>
          <w:i/>
          <w:iCs/>
        </w:rPr>
        <w:t xml:space="preserve">Aquaculture Research, </w:t>
      </w:r>
      <w:r w:rsidRPr="008D4604">
        <w:t xml:space="preserve">40(13), 1532-1537. </w:t>
      </w:r>
      <w:hyperlink r:id="rId9" w:history="1">
        <w:r w:rsidRPr="003915D8">
          <w:rPr>
            <w:rStyle w:val="Hyperlink"/>
          </w:rPr>
          <w:t>https://doi.org/10.1111/j.1365-2109.02254.x</w:t>
        </w:r>
      </w:hyperlink>
    </w:p>
    <w:p w:rsidR="008D4604" w:rsidRDefault="008D4604" w:rsidP="008D4604">
      <w:pPr>
        <w:tabs>
          <w:tab w:val="left" w:pos="384"/>
        </w:tabs>
        <w:ind w:right="117"/>
        <w:jc w:val="both"/>
      </w:pPr>
      <w:r w:rsidRPr="008D4604">
        <w:t xml:space="preserve"> </w:t>
      </w:r>
    </w:p>
    <w:p w:rsidR="008D4604" w:rsidRDefault="008D4604" w:rsidP="008D4604">
      <w:pPr>
        <w:tabs>
          <w:tab w:val="left" w:pos="384"/>
        </w:tabs>
        <w:ind w:right="117"/>
        <w:jc w:val="both"/>
      </w:pPr>
      <w:proofErr w:type="spellStart"/>
      <w:r w:rsidRPr="008D4604">
        <w:rPr>
          <w:b/>
          <w:bCs/>
        </w:rPr>
        <w:t>Abou-Zied</w:t>
      </w:r>
      <w:proofErr w:type="spellEnd"/>
      <w:r w:rsidRPr="008D4604">
        <w:rPr>
          <w:b/>
          <w:bCs/>
        </w:rPr>
        <w:t xml:space="preserve">, R. M. (2015). </w:t>
      </w:r>
      <w:r w:rsidRPr="008D4604">
        <w:t xml:space="preserve">Effect of diet extruded type on growth performance, feed utilization and economic efficiency of Nile tilapia in commercial farms. </w:t>
      </w:r>
      <w:r w:rsidRPr="008D4604">
        <w:rPr>
          <w:i/>
          <w:iCs/>
        </w:rPr>
        <w:t xml:space="preserve">Egyptian Journal of Nutrition and Feeds, </w:t>
      </w:r>
      <w:r w:rsidRPr="008D4604">
        <w:t>18(1), 143-150.</w:t>
      </w:r>
    </w:p>
    <w:p w:rsidR="008D4604" w:rsidRDefault="008D4604" w:rsidP="008D4604">
      <w:pPr>
        <w:tabs>
          <w:tab w:val="left" w:pos="384"/>
        </w:tabs>
        <w:ind w:right="117"/>
        <w:jc w:val="both"/>
      </w:pPr>
      <w:r w:rsidRPr="008D4604">
        <w:t xml:space="preserve"> </w:t>
      </w:r>
    </w:p>
    <w:p w:rsidR="008D4604" w:rsidRDefault="008D4604" w:rsidP="008D4604">
      <w:pPr>
        <w:tabs>
          <w:tab w:val="left" w:pos="384"/>
        </w:tabs>
        <w:ind w:right="117"/>
        <w:jc w:val="both"/>
      </w:pPr>
      <w:r w:rsidRPr="008D4604">
        <w:rPr>
          <w:b/>
          <w:bCs/>
        </w:rPr>
        <w:t xml:space="preserve">Ali, M. Z., </w:t>
      </w:r>
      <w:proofErr w:type="spellStart"/>
      <w:r w:rsidRPr="008D4604">
        <w:rPr>
          <w:b/>
          <w:bCs/>
        </w:rPr>
        <w:t>Jauncey</w:t>
      </w:r>
      <w:proofErr w:type="spellEnd"/>
      <w:r w:rsidRPr="008D4604">
        <w:rPr>
          <w:b/>
          <w:bCs/>
        </w:rPr>
        <w:t xml:space="preserve">, K. (2004). </w:t>
      </w:r>
      <w:r w:rsidRPr="008D4604">
        <w:t xml:space="preserve">Evaluation of mixed feeding schedules with respect to compensatory growth and body composition in African catfish </w:t>
      </w:r>
      <w:proofErr w:type="spellStart"/>
      <w:r w:rsidRPr="008D4604">
        <w:t>Clarias</w:t>
      </w:r>
      <w:proofErr w:type="spellEnd"/>
      <w:r w:rsidRPr="008D4604">
        <w:t xml:space="preserve"> </w:t>
      </w:r>
      <w:proofErr w:type="spellStart"/>
      <w:r w:rsidRPr="008D4604">
        <w:t>gariepinus</w:t>
      </w:r>
      <w:proofErr w:type="spellEnd"/>
      <w:r w:rsidRPr="008D4604">
        <w:t xml:space="preserve">. </w:t>
      </w:r>
      <w:proofErr w:type="spellStart"/>
      <w:r w:rsidRPr="008D4604">
        <w:t>Aquacul-ture</w:t>
      </w:r>
      <w:proofErr w:type="spellEnd"/>
      <w:r w:rsidRPr="008D4604">
        <w:t xml:space="preserve"> Nutrition, 10(1). 1365-2095. </w:t>
      </w:r>
      <w:hyperlink r:id="rId10" w:history="1">
        <w:r w:rsidRPr="003915D8">
          <w:rPr>
            <w:rStyle w:val="Hyperlink"/>
          </w:rPr>
          <w:t>https://doi.org/10.1046/j.1365-2095.2003.00278.x</w:t>
        </w:r>
      </w:hyperlink>
    </w:p>
    <w:p w:rsidR="008D4604" w:rsidRDefault="008D4604" w:rsidP="008D4604">
      <w:pPr>
        <w:tabs>
          <w:tab w:val="left" w:pos="384"/>
        </w:tabs>
        <w:ind w:right="117"/>
        <w:jc w:val="both"/>
      </w:pPr>
    </w:p>
    <w:p w:rsidR="008D4604" w:rsidRDefault="008D4604" w:rsidP="008D4604">
      <w:pPr>
        <w:tabs>
          <w:tab w:val="left" w:pos="384"/>
        </w:tabs>
        <w:ind w:right="117"/>
        <w:jc w:val="both"/>
      </w:pPr>
      <w:r w:rsidRPr="008D4604">
        <w:rPr>
          <w:b/>
          <w:bCs/>
        </w:rPr>
        <w:t xml:space="preserve">Anderson, R., Neumann, R. M. (1996). </w:t>
      </w:r>
      <w:r w:rsidRPr="008D4604">
        <w:t xml:space="preserve">Length, Weight and Associated Structural Indices. In: </w:t>
      </w:r>
      <w:proofErr w:type="gramStart"/>
      <w:r w:rsidRPr="008D4604">
        <w:t>B.R..</w:t>
      </w:r>
      <w:proofErr w:type="gramEnd"/>
      <w:r w:rsidRPr="008D4604">
        <w:t xml:space="preserve"> Murphy, &amp; D.W. Willis, (</w:t>
      </w:r>
      <w:proofErr w:type="spellStart"/>
      <w:r w:rsidRPr="008D4604">
        <w:t>Eds</w:t>
      </w:r>
      <w:proofErr w:type="spellEnd"/>
      <w:r w:rsidRPr="008D4604">
        <w:t xml:space="preserve">), Fisheries techniques, 2nd edition. American Fisheries Society, Bethesda, Maryland 447-482. </w:t>
      </w:r>
    </w:p>
    <w:p w:rsidR="008D4604" w:rsidRDefault="008D4604" w:rsidP="008D4604">
      <w:pPr>
        <w:tabs>
          <w:tab w:val="left" w:pos="384"/>
        </w:tabs>
        <w:ind w:right="117"/>
        <w:jc w:val="both"/>
      </w:pPr>
    </w:p>
    <w:p w:rsidR="00AE3E37" w:rsidRPr="008D4604" w:rsidRDefault="008D4604" w:rsidP="008D4604">
      <w:pPr>
        <w:tabs>
          <w:tab w:val="left" w:pos="384"/>
        </w:tabs>
        <w:ind w:right="117"/>
        <w:jc w:val="both"/>
      </w:pPr>
      <w:r w:rsidRPr="008D4604">
        <w:rPr>
          <w:b/>
          <w:bCs/>
        </w:rPr>
        <w:t xml:space="preserve">Bailey, D.S., Hargreaves, J.A., </w:t>
      </w:r>
      <w:proofErr w:type="spellStart"/>
      <w:r w:rsidRPr="008D4604">
        <w:rPr>
          <w:b/>
          <w:bCs/>
        </w:rPr>
        <w:t>Rakocy</w:t>
      </w:r>
      <w:proofErr w:type="spellEnd"/>
      <w:r w:rsidRPr="008D4604">
        <w:rPr>
          <w:b/>
          <w:bCs/>
        </w:rPr>
        <w:t xml:space="preserve">, J.E. (1992). </w:t>
      </w:r>
      <w:r w:rsidRPr="008D4604">
        <w:t>Enter-</w:t>
      </w:r>
      <w:proofErr w:type="spellStart"/>
      <w:r w:rsidRPr="008D4604">
        <w:t>prise</w:t>
      </w:r>
      <w:proofErr w:type="spellEnd"/>
      <w:r w:rsidRPr="008D4604">
        <w:t xml:space="preserve"> budget analysis of three stocking densities of caged Florida red tilapia. Proc. Gulf Carib. Fish.</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AE3E37">
      <w:pPr>
        <w:pStyle w:val="BodyText"/>
        <w:spacing w:line="40" w:lineRule="exact"/>
        <w:ind w:left="2202"/>
        <w:rPr>
          <w:rFonts w:ascii="Calibri"/>
          <w:sz w:val="4"/>
        </w:rPr>
      </w:pPr>
    </w:p>
    <w:p w:rsidR="0021336E" w:rsidRDefault="008756E6" w:rsidP="00404E5B">
      <w:pPr>
        <w:spacing w:before="92"/>
        <w:ind w:right="4234"/>
        <w:rPr>
          <w:noProof/>
        </w:rPr>
      </w:pPr>
      <w:r>
        <w:rPr>
          <w:noProof/>
        </w:rPr>
        <w:t xml:space="preserve">             </w:t>
      </w:r>
    </w:p>
    <w:p w:rsidR="0021336E" w:rsidRDefault="0021336E" w:rsidP="00404E5B">
      <w:pPr>
        <w:spacing w:before="92"/>
        <w:ind w:right="4234"/>
        <w:rPr>
          <w:noProof/>
        </w:rPr>
      </w:pPr>
    </w:p>
    <w:p w:rsidR="0021336E" w:rsidRDefault="0021336E" w:rsidP="00404E5B">
      <w:pPr>
        <w:spacing w:before="92"/>
        <w:ind w:right="4234"/>
        <w:rPr>
          <w:noProof/>
        </w:rPr>
      </w:pPr>
    </w:p>
    <w:p w:rsidR="0021336E" w:rsidRDefault="0021336E" w:rsidP="00404E5B">
      <w:pPr>
        <w:spacing w:before="92"/>
        <w:ind w:right="4234"/>
        <w:rPr>
          <w:noProof/>
        </w:rPr>
      </w:pPr>
    </w:p>
    <w:p w:rsidR="0021336E" w:rsidRDefault="0021336E" w:rsidP="00404E5B">
      <w:pPr>
        <w:spacing w:before="92"/>
        <w:ind w:right="4234"/>
        <w:rPr>
          <w:noProof/>
        </w:rPr>
      </w:pPr>
    </w:p>
    <w:p w:rsidR="0021336E" w:rsidRDefault="0021336E" w:rsidP="00404E5B">
      <w:pPr>
        <w:spacing w:before="92"/>
        <w:ind w:right="4234"/>
        <w:rPr>
          <w:noProof/>
        </w:rPr>
      </w:pPr>
    </w:p>
    <w:p w:rsidR="0021336E" w:rsidRDefault="0021336E" w:rsidP="00404E5B">
      <w:pPr>
        <w:spacing w:before="92"/>
        <w:ind w:right="4234"/>
        <w:rPr>
          <w:noProof/>
        </w:rPr>
      </w:pPr>
    </w:p>
    <w:p w:rsidR="0021336E" w:rsidRDefault="0021336E" w:rsidP="00404E5B">
      <w:pPr>
        <w:spacing w:before="92"/>
        <w:ind w:right="4234"/>
        <w:rPr>
          <w:noProof/>
        </w:rPr>
      </w:pPr>
      <w:r w:rsidRPr="0021336E">
        <w:rPr>
          <w:rFonts w:ascii="Calibri" w:eastAsia="Malgun Gothic" w:hAnsi="Calibri" w:cs="Times New Roman"/>
          <w:noProof/>
          <w:lang w:eastAsia="ko-KR"/>
        </w:rPr>
        <mc:AlternateContent>
          <mc:Choice Requires="wps">
            <w:drawing>
              <wp:anchor distT="0" distB="0" distL="114300" distR="114300" simplePos="0" relativeHeight="251659264" behindDoc="0" locked="0" layoutInCell="1" allowOverlap="1" wp14:anchorId="627637F0" wp14:editId="6C4CD8FD">
                <wp:simplePos x="0" y="0"/>
                <wp:positionH relativeFrom="column">
                  <wp:posOffset>1804548</wp:posOffset>
                </wp:positionH>
                <wp:positionV relativeFrom="paragraph">
                  <wp:posOffset>-92859</wp:posOffset>
                </wp:positionV>
                <wp:extent cx="2889115" cy="1420239"/>
                <wp:effectExtent l="0" t="0" r="26035" b="27940"/>
                <wp:wrapNone/>
                <wp:docPr id="3" name="Rectangle 3"/>
                <wp:cNvGraphicFramePr/>
                <a:graphic xmlns:a="http://schemas.openxmlformats.org/drawingml/2006/main">
                  <a:graphicData uri="http://schemas.microsoft.com/office/word/2010/wordprocessingShape">
                    <wps:wsp>
                      <wps:cNvSpPr/>
                      <wps:spPr>
                        <a:xfrm>
                          <a:off x="0" y="0"/>
                          <a:ext cx="2889115" cy="1420239"/>
                        </a:xfrm>
                        <a:prstGeom prst="rect">
                          <a:avLst/>
                        </a:prstGeom>
                        <a:solidFill>
                          <a:sysClr val="window" lastClr="FFFFFF"/>
                        </a:solidFill>
                        <a:ln w="12700" cap="flat" cmpd="sng" algn="ctr">
                          <a:solidFill>
                            <a:srgbClr val="70AD47"/>
                          </a:solidFill>
                          <a:prstDash val="solid"/>
                          <a:miter lim="800000"/>
                        </a:ln>
                        <a:effectLst/>
                      </wps:spPr>
                      <wps:txbx>
                        <w:txbxContent>
                          <w:p w:rsidR="0021336E" w:rsidRDefault="0021336E" w:rsidP="0021336E">
                            <w:pPr>
                              <w:spacing w:line="276" w:lineRule="auto"/>
                            </w:pPr>
                            <w:r>
                              <w:t xml:space="preserve">Gladys </w:t>
                            </w:r>
                            <w:proofErr w:type="spellStart"/>
                            <w:r>
                              <w:t>Mwaka</w:t>
                            </w:r>
                            <w:proofErr w:type="spellEnd"/>
                            <w:r>
                              <w:t xml:space="preserve"> </w:t>
                            </w:r>
                            <w:proofErr w:type="spellStart"/>
                            <w:r>
                              <w:t>Holeh</w:t>
                            </w:r>
                            <w:proofErr w:type="spellEnd"/>
                          </w:p>
                          <w:p w:rsidR="0021336E" w:rsidRDefault="0021336E" w:rsidP="0021336E">
                            <w:pPr>
                              <w:spacing w:line="276" w:lineRule="auto"/>
                            </w:pPr>
                            <w:r>
                              <w:t>Research Scientist</w:t>
                            </w:r>
                          </w:p>
                          <w:p w:rsidR="0021336E" w:rsidRDefault="0021336E" w:rsidP="0021336E">
                            <w:pPr>
                              <w:spacing w:line="276" w:lineRule="auto"/>
                            </w:pPr>
                            <w:r>
                              <w:t>Kenya Marine and Fisheries Research Institute</w:t>
                            </w:r>
                          </w:p>
                          <w:p w:rsidR="0021336E" w:rsidRDefault="0021336E" w:rsidP="0021336E">
                            <w:pPr>
                              <w:spacing w:line="276" w:lineRule="auto"/>
                            </w:pPr>
                            <w:r>
                              <w:t>P.O BOX 81651-80100</w:t>
                            </w:r>
                          </w:p>
                          <w:p w:rsidR="0021336E" w:rsidRDefault="0021336E" w:rsidP="0021336E">
                            <w:pPr>
                              <w:spacing w:line="276" w:lineRule="auto"/>
                            </w:pPr>
                            <w:r>
                              <w:t>Mombasa</w:t>
                            </w:r>
                          </w:p>
                          <w:p w:rsidR="0021336E" w:rsidRDefault="0021336E" w:rsidP="0021336E">
                            <w:pPr>
                              <w:spacing w:line="276" w:lineRule="auto"/>
                            </w:pPr>
                            <w:r>
                              <w:t>Mobile: +254752234450/+254719412860</w:t>
                            </w:r>
                          </w:p>
                          <w:p w:rsidR="0021336E" w:rsidRDefault="0021336E" w:rsidP="0021336E">
                            <w:pPr>
                              <w:spacing w:line="276" w:lineRule="auto"/>
                            </w:pPr>
                            <w:r>
                              <w:t>Email: holegladys@gmail.com</w:t>
                            </w:r>
                          </w:p>
                          <w:p w:rsidR="0021336E" w:rsidRDefault="0021336E" w:rsidP="0021336E"/>
                          <w:p w:rsidR="0021336E" w:rsidRDefault="0021336E" w:rsidP="0021336E"/>
                          <w:p w:rsidR="0021336E" w:rsidRDefault="0021336E" w:rsidP="0021336E"/>
                          <w:p w:rsidR="0021336E" w:rsidRDefault="0021336E" w:rsidP="0021336E"/>
                          <w:p w:rsidR="0021336E" w:rsidRDefault="0021336E" w:rsidP="0021336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7637F0" id="Rectangle 3" o:spid="_x0000_s1026" style="position:absolute;margin-left:142.1pt;margin-top:-7.3pt;width:227.5pt;height:11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" fillcolor="window" strokecolor="#70ad47" strokeweight="1pt">
                <v:textbox>
                  <w:txbxContent>
                    <w:p w:rsidR="0021336E" w:rsidRDefault="0021336E" w:rsidP="0021336E">
                      <w:pPr>
                        <w:spacing w:line="276" w:lineRule="auto"/>
                      </w:pPr>
                      <w:r>
                        <w:t xml:space="preserve">Gladys </w:t>
                      </w:r>
                      <w:proofErr w:type="spellStart"/>
                      <w:r>
                        <w:t>Mwaka</w:t>
                      </w:r>
                      <w:proofErr w:type="spellEnd"/>
                      <w:r>
                        <w:t xml:space="preserve"> </w:t>
                      </w:r>
                      <w:proofErr w:type="spellStart"/>
                      <w:r>
                        <w:t>Holeh</w:t>
                      </w:r>
                      <w:proofErr w:type="spellEnd"/>
                    </w:p>
                    <w:p w:rsidR="0021336E" w:rsidRDefault="0021336E" w:rsidP="0021336E">
                      <w:pPr>
                        <w:spacing w:line="276" w:lineRule="auto"/>
                      </w:pPr>
                      <w:r>
                        <w:t>Research Scientist</w:t>
                      </w:r>
                    </w:p>
                    <w:p w:rsidR="0021336E" w:rsidRDefault="0021336E" w:rsidP="0021336E">
                      <w:pPr>
                        <w:spacing w:line="276" w:lineRule="auto"/>
                      </w:pPr>
                      <w:r>
                        <w:t>Kenya Marine and Fisheries Research Institute</w:t>
                      </w:r>
                    </w:p>
                    <w:p w:rsidR="0021336E" w:rsidRDefault="0021336E" w:rsidP="0021336E">
                      <w:pPr>
                        <w:spacing w:line="276" w:lineRule="auto"/>
                      </w:pPr>
                      <w:r>
                        <w:t>P.O BOX 81651-80100</w:t>
                      </w:r>
                    </w:p>
                    <w:p w:rsidR="0021336E" w:rsidRDefault="0021336E" w:rsidP="0021336E">
                      <w:pPr>
                        <w:spacing w:line="276" w:lineRule="auto"/>
                      </w:pPr>
                      <w:r>
                        <w:t>Mombasa</w:t>
                      </w:r>
                    </w:p>
                    <w:p w:rsidR="0021336E" w:rsidRDefault="0021336E" w:rsidP="0021336E">
                      <w:pPr>
                        <w:spacing w:line="276" w:lineRule="auto"/>
                      </w:pPr>
                      <w:r>
                        <w:t>Mobile: +254752234450/+254719412860</w:t>
                      </w:r>
                    </w:p>
                    <w:p w:rsidR="0021336E" w:rsidRDefault="0021336E" w:rsidP="0021336E">
                      <w:pPr>
                        <w:spacing w:line="276" w:lineRule="auto"/>
                      </w:pPr>
                      <w:r>
                        <w:t>Email: holegladys@gmail.com</w:t>
                      </w:r>
                    </w:p>
                    <w:p w:rsidR="0021336E" w:rsidRDefault="0021336E" w:rsidP="0021336E"/>
                    <w:p w:rsidR="0021336E" w:rsidRDefault="0021336E" w:rsidP="0021336E"/>
                    <w:p w:rsidR="0021336E" w:rsidRDefault="0021336E" w:rsidP="0021336E"/>
                    <w:p w:rsidR="0021336E" w:rsidRDefault="0021336E" w:rsidP="0021336E"/>
                    <w:p w:rsidR="0021336E" w:rsidRDefault="0021336E" w:rsidP="0021336E"/>
                  </w:txbxContent>
                </v:textbox>
              </v:rect>
            </w:pict>
          </mc:Fallback>
        </mc:AlternateContent>
      </w:r>
      <w:r w:rsidR="006E39B0">
        <w:rPr>
          <w:noProof/>
        </w:rPr>
        <w:t xml:space="preserve">   </w:t>
      </w:r>
      <w:r w:rsidR="008756E6">
        <w:rPr>
          <w:noProof/>
        </w:rPr>
        <w:t xml:space="preserve"> </w:t>
      </w:r>
      <w:r>
        <w:rPr>
          <w:noProof/>
        </w:rPr>
        <w:drawing>
          <wp:inline distT="0" distB="0" distL="0" distR="0" wp14:anchorId="67D24321" wp14:editId="08663856">
            <wp:extent cx="1188720" cy="1214162"/>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236698" cy="1263167"/>
                    </a:xfrm>
                    <a:prstGeom prst="rect">
                      <a:avLst/>
                    </a:prstGeom>
                  </pic:spPr>
                </pic:pic>
              </a:graphicData>
            </a:graphic>
          </wp:inline>
        </w:drawing>
      </w:r>
      <w:r>
        <w:rPr>
          <w:noProof/>
        </w:rPr>
        <w:t xml:space="preserve">                                                 </w:t>
      </w:r>
    </w:p>
    <w:p w:rsidR="006E39B0" w:rsidRDefault="006E39B0" w:rsidP="006E39B0">
      <w:pPr>
        <w:spacing w:before="62"/>
        <w:ind w:right="4235"/>
        <w:rPr>
          <w:rFonts w:ascii="Arial"/>
        </w:rPr>
      </w:pPr>
    </w:p>
    <w:p w:rsidR="006E39B0" w:rsidRDefault="006E39B0" w:rsidP="006E39B0">
      <w:pPr>
        <w:spacing w:before="62"/>
        <w:ind w:right="4235"/>
        <w:rPr>
          <w:rFonts w:ascii="Arial"/>
        </w:rPr>
      </w:pPr>
      <w:r>
        <w:rPr>
          <w:rFonts w:ascii="Arial"/>
        </w:rPr>
        <w:t xml:space="preserve">                                                       </w:t>
      </w:r>
    </w:p>
    <w:p w:rsidR="006E39B0" w:rsidRDefault="006E39B0" w:rsidP="006E39B0">
      <w:pPr>
        <w:spacing w:before="62"/>
        <w:ind w:right="4235"/>
        <w:rPr>
          <w:rFonts w:ascii="Arial"/>
        </w:rPr>
      </w:pPr>
    </w:p>
    <w:p w:rsidR="006E39B0" w:rsidRDefault="006E39B0" w:rsidP="006E39B0">
      <w:pPr>
        <w:jc w:val="both"/>
      </w:pPr>
      <w:r>
        <w:t xml:space="preserve">Gladys </w:t>
      </w:r>
      <w:proofErr w:type="spellStart"/>
      <w:r>
        <w:t>Mwaka</w:t>
      </w:r>
      <w:proofErr w:type="spellEnd"/>
      <w:r>
        <w:t xml:space="preserve"> is a Fisheries scientist in the Kenya Marine and Fisheries Research Institute (KMFRI) in </w:t>
      </w:r>
      <w:proofErr w:type="spellStart"/>
      <w:r>
        <w:t>Shimoni</w:t>
      </w:r>
      <w:proofErr w:type="spellEnd"/>
      <w:r>
        <w:t>, Kwale County. She has been an intern in the institute for three years since 2015 until 2017 when she got a scholarship to further her studies in South Korea. Gladys is permanently employed for One year and five months since July 2019. She has a background in Microbiology and biotechnology from the Technical University of Mombasa and Fisheries science/Aquaculture technology from the World Fisheries University in South Korea.  She is passionate about research, management and governance of aquatic systems (coastal marine and fresh water). Human dimensions of environmental change social ecology systems, global environmental politics, environment and development, trade and environment agricultural biotechnology and implications for developing country.</w:t>
      </w:r>
    </w:p>
    <w:p w:rsidR="006E39B0" w:rsidRDefault="006E39B0" w:rsidP="006E39B0">
      <w:pPr>
        <w:jc w:val="both"/>
      </w:pPr>
      <w:r>
        <w:t>Gladys has published three papers in peer reviewed international journals as a first author and three as a second author. Her research findings had</w:t>
      </w:r>
      <w:r w:rsidRPr="00BF21F7">
        <w:t xml:space="preserve"> a tendency of </w:t>
      </w:r>
      <w:r>
        <w:t xml:space="preserve">cutting down cost, saving time while </w:t>
      </w:r>
      <w:r w:rsidRPr="00BF21F7">
        <w:t>maintain</w:t>
      </w:r>
      <w:r>
        <w:t>ing</w:t>
      </w:r>
      <w:r w:rsidRPr="00BF21F7">
        <w:t xml:space="preserve"> quality and healthy organism</w:t>
      </w:r>
      <w:r>
        <w:t>s</w:t>
      </w:r>
      <w:r w:rsidRPr="00BF21F7">
        <w:t xml:space="preserve"> hence improving fish food security whilst alleviating poverty.</w:t>
      </w:r>
      <w:r>
        <w:t xml:space="preserve"> </w:t>
      </w:r>
    </w:p>
    <w:p w:rsidR="006E39B0" w:rsidRDefault="006E39B0" w:rsidP="006E39B0">
      <w:pPr>
        <w:jc w:val="both"/>
      </w:pPr>
      <w:r>
        <w:t xml:space="preserve">Gladys </w:t>
      </w:r>
      <w:proofErr w:type="spellStart"/>
      <w:r>
        <w:t>Mwaka</w:t>
      </w:r>
      <w:proofErr w:type="spellEnd"/>
      <w:r>
        <w:t xml:space="preserve"> was recently appointed as a board of Director in the Kenya Wildlife Research and Training Institute for a period of three years with effect from 1</w:t>
      </w:r>
      <w:r w:rsidRPr="00182A5D">
        <w:rPr>
          <w:vertAlign w:val="superscript"/>
        </w:rPr>
        <w:t>st</w:t>
      </w:r>
      <w:r>
        <w:t xml:space="preserve"> July 2020 until 31</w:t>
      </w:r>
      <w:r w:rsidRPr="00182A5D">
        <w:rPr>
          <w:vertAlign w:val="superscript"/>
        </w:rPr>
        <w:t>st</w:t>
      </w:r>
      <w:r>
        <w:t xml:space="preserve"> June 2023. This enables her to oversee the effective implementation of the national wildlife policy among other roles as stated by the national government. </w:t>
      </w:r>
    </w:p>
    <w:p w:rsidR="006E39B0" w:rsidRPr="003F475B" w:rsidRDefault="006E39B0" w:rsidP="006E39B0">
      <w:pPr>
        <w:jc w:val="both"/>
      </w:pPr>
      <w:r>
        <w:t xml:space="preserve">Her long term goals are to work together with other scientist in increasing aquaculture production in Kenya, Africa and the whole world while enhancing </w:t>
      </w:r>
      <w:proofErr w:type="spellStart"/>
      <w:r>
        <w:t>mariculture</w:t>
      </w:r>
      <w:proofErr w:type="spellEnd"/>
      <w:r>
        <w:t xml:space="preserve"> development for sustainability, enhance food and nutritional security and create employment. </w:t>
      </w:r>
    </w:p>
    <w:p w:rsidR="006E39B0" w:rsidRPr="00CD0466" w:rsidRDefault="006E39B0" w:rsidP="00CD0466">
      <w:pPr>
        <w:jc w:val="both"/>
      </w:pPr>
      <w:r>
        <w:t>Gladys interests is in research, field work, travelling and nature. She is a workaholic and in bid to see the weaknesses in other.</w:t>
      </w:r>
    </w:p>
    <w:p w:rsidR="006E39B0" w:rsidRDefault="006E39B0" w:rsidP="006E39B0">
      <w:pPr>
        <w:spacing w:before="62"/>
        <w:ind w:right="4235"/>
        <w:rPr>
          <w:rFonts w:ascii="Arial"/>
        </w:rPr>
      </w:pPr>
    </w:p>
    <w:p w:rsidR="006E39B0" w:rsidRDefault="006E39B0" w:rsidP="006E39B0">
      <w:pPr>
        <w:spacing w:before="62"/>
        <w:ind w:right="4235"/>
        <w:rPr>
          <w:rFonts w:ascii="Arial"/>
        </w:rPr>
      </w:pPr>
    </w:p>
    <w:p w:rsidR="00AE3E37" w:rsidRDefault="006E39B0" w:rsidP="006E39B0">
      <w:pPr>
        <w:spacing w:before="62"/>
        <w:ind w:right="4235"/>
        <w:rPr>
          <w:rFonts w:ascii="Arial"/>
          <w:sz w:val="14"/>
        </w:rPr>
      </w:pPr>
      <w:r>
        <w:rPr>
          <w:rFonts w:ascii="Arial"/>
        </w:rPr>
        <w:t xml:space="preserve">                                                      EMAIL:</w:t>
      </w:r>
      <w:r w:rsidR="0021336E">
        <w:rPr>
          <w:rFonts w:ascii="Arial"/>
          <w:sz w:val="14"/>
        </w:rPr>
        <w:t xml:space="preserve">  </w:t>
      </w:r>
      <w:hyperlink r:id="rId12" w:history="1">
        <w:r w:rsidRPr="003915D8">
          <w:rPr>
            <w:rStyle w:val="Hyperlink"/>
          </w:rPr>
          <w:t>holegladys@gmail.com</w:t>
        </w:r>
      </w:hyperlink>
      <w:r w:rsidR="0021336E">
        <w:t xml:space="preserve"> </w:t>
      </w:r>
    </w:p>
    <w:p w:rsidR="00AE3E37" w:rsidRDefault="00292ED9">
      <w:pPr>
        <w:pStyle w:val="BodyText"/>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07DB4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21336E">
        <w:rPr>
          <w:rFonts w:ascii="Arial"/>
          <w:sz w:val="19"/>
        </w:rPr>
        <w:t xml:space="preserve">                                                                         </w: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2823" w:rsidRDefault="006C2823">
      <w:r>
        <w:separator/>
      </w:r>
    </w:p>
  </w:endnote>
  <w:endnote w:type="continuationSeparator" w:id="0">
    <w:p w:rsidR="006C2823" w:rsidRDefault="006C2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ulim">
    <w:altName w:val="Malgun Gothic"/>
    <w:panose1 w:val="020B0600000101010101"/>
    <w:charset w:val="81"/>
    <w:family w:val="roman"/>
    <w:notTrueType/>
    <w:pitch w:val="fixed"/>
    <w:sig w:usb0="00000000" w:usb1="09060000" w:usb2="00000010" w:usb3="00000000" w:csb0="0008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F542E" w:rsidRDefault="00A9710C">
                          <w:pPr>
                            <w:spacing w:line="184" w:lineRule="exact"/>
                            <w:ind w:left="20" w:right="-12"/>
                            <w:rPr>
                              <w:rFonts w:ascii="Arial"/>
                              <w:color w:val="FFFFFF"/>
                              <w:sz w:val="16"/>
                            </w:rPr>
                          </w:pPr>
                          <w:r w:rsidRPr="00BF542E">
                            <w:rPr>
                              <w:rFonts w:ascii="Arial"/>
                              <w:color w:val="FFFFFF"/>
                              <w:sz w:val="16"/>
                            </w:rPr>
                            <w:t>J Pain Relief</w:t>
                          </w:r>
                        </w:p>
                        <w:p w:rsidR="00AE3E37" w:rsidRPr="00BF542E" w:rsidRDefault="00A9710C">
                          <w:pPr>
                            <w:spacing w:before="8"/>
                            <w:ind w:left="20" w:right="-12"/>
                            <w:rPr>
                              <w:rFonts w:ascii="Arial"/>
                              <w:color w:val="FFFFFF"/>
                              <w:sz w:val="16"/>
                            </w:rPr>
                          </w:pPr>
                          <w:r w:rsidRPr="00BF542E">
                            <w:rPr>
                              <w:rFonts w:ascii="Arial"/>
                              <w:color w:val="FFFFFF"/>
                              <w:sz w:val="16"/>
                            </w:rPr>
                            <w:t xml:space="preserve">ISSN: 2167-0846 JPAR an open access </w:t>
                          </w:r>
                          <w:proofErr w:type="spellStart"/>
                          <w:r w:rsidRPr="00BF542E">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BF542E" w:rsidRDefault="00A9710C">
                    <w:pPr>
                      <w:spacing w:line="184" w:lineRule="exact"/>
                      <w:ind w:left="20" w:right="-12"/>
                      <w:rPr>
                        <w:rFonts w:ascii="Arial"/>
                        <w:color w:val="FFFFFF"/>
                        <w:sz w:val="16"/>
                      </w:rPr>
                    </w:pPr>
                    <w:r w:rsidRPr="00BF542E">
                      <w:rPr>
                        <w:rFonts w:ascii="Arial"/>
                        <w:color w:val="FFFFFF"/>
                        <w:sz w:val="16"/>
                      </w:rPr>
                      <w:t>J Pain Relief</w:t>
                    </w:r>
                  </w:p>
                  <w:p w:rsidR="00AE3E37" w:rsidRPr="00BF542E" w:rsidRDefault="00A9710C">
                    <w:pPr>
                      <w:spacing w:before="8"/>
                      <w:ind w:left="20" w:right="-12"/>
                      <w:rPr>
                        <w:rFonts w:ascii="Arial"/>
                        <w:color w:val="FFFFFF"/>
                        <w:sz w:val="16"/>
                      </w:rPr>
                    </w:pPr>
                    <w:r w:rsidRPr="00BF542E">
                      <w:rPr>
                        <w:rFonts w:ascii="Arial"/>
                        <w:color w:val="FFFFFF"/>
                        <w:sz w:val="16"/>
                      </w:rPr>
                      <w:t xml:space="preserve">ISSN: 2167-0846 JPAR an open access </w:t>
                    </w:r>
                    <w:proofErr w:type="spellStart"/>
                    <w:r w:rsidRPr="00BF542E">
                      <w:rPr>
                        <w:rFonts w:ascii="Arial"/>
                        <w:color w:val="FFFFFF"/>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F542E" w:rsidRDefault="00A9710C">
                          <w:pPr>
                            <w:spacing w:line="269" w:lineRule="exact"/>
                            <w:jc w:val="center"/>
                            <w:rPr>
                              <w:rFonts w:ascii="Impact"/>
                              <w:color w:val="FFFFFF"/>
                              <w:sz w:val="24"/>
                            </w:rPr>
                          </w:pPr>
                          <w:r w:rsidRPr="00BF542E">
                            <w:rPr>
                              <w:rFonts w:ascii="Impact"/>
                              <w:color w:val="FFFFFF"/>
                              <w:sz w:val="24"/>
                            </w:rPr>
                            <w:t>Fibromyalgia 2016</w:t>
                          </w:r>
                        </w:p>
                        <w:p w:rsidR="00AE3E37" w:rsidRPr="00BF542E" w:rsidRDefault="00A9710C">
                          <w:pPr>
                            <w:spacing w:before="29"/>
                            <w:jc w:val="center"/>
                            <w:rPr>
                              <w:rFonts w:ascii="Arial"/>
                              <w:color w:val="FFFFFF"/>
                              <w:sz w:val="16"/>
                            </w:rPr>
                          </w:pPr>
                          <w:r w:rsidRPr="00BF542E">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BF542E" w:rsidRDefault="00A9710C">
                    <w:pPr>
                      <w:spacing w:line="269" w:lineRule="exact"/>
                      <w:jc w:val="center"/>
                      <w:rPr>
                        <w:rFonts w:ascii="Impact"/>
                        <w:color w:val="FFFFFF"/>
                        <w:sz w:val="24"/>
                      </w:rPr>
                    </w:pPr>
                    <w:r w:rsidRPr="00BF542E">
                      <w:rPr>
                        <w:rFonts w:ascii="Impact"/>
                        <w:color w:val="FFFFFF"/>
                        <w:sz w:val="24"/>
                      </w:rPr>
                      <w:t>Fibromyalgia 2016</w:t>
                    </w:r>
                  </w:p>
                  <w:p w:rsidR="00AE3E37" w:rsidRPr="00BF542E" w:rsidRDefault="00A9710C">
                    <w:pPr>
                      <w:spacing w:before="29"/>
                      <w:jc w:val="center"/>
                      <w:rPr>
                        <w:rFonts w:ascii="Arial"/>
                        <w:color w:val="FFFFFF"/>
                        <w:sz w:val="16"/>
                      </w:rPr>
                    </w:pPr>
                    <w:r w:rsidRPr="00BF542E">
                      <w:rPr>
                        <w:rFonts w:ascii="Arial"/>
                        <w:color w:val="FFFFFF"/>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F542E" w:rsidRDefault="00A9710C">
                          <w:pPr>
                            <w:spacing w:line="184" w:lineRule="exact"/>
                            <w:ind w:right="18"/>
                            <w:jc w:val="right"/>
                            <w:rPr>
                              <w:rFonts w:ascii="Arial"/>
                              <w:color w:val="FFFFFF"/>
                              <w:sz w:val="16"/>
                            </w:rPr>
                          </w:pPr>
                          <w:r w:rsidRPr="00BF542E">
                            <w:rPr>
                              <w:rFonts w:ascii="Arial"/>
                              <w:color w:val="FFFFFF"/>
                              <w:sz w:val="16"/>
                            </w:rPr>
                            <w:t>Volume 5, Issue 3(</w:t>
                          </w:r>
                          <w:proofErr w:type="spellStart"/>
                          <w:r w:rsidRPr="00BF542E">
                            <w:rPr>
                              <w:rFonts w:ascii="Arial"/>
                              <w:color w:val="FFFFFF"/>
                              <w:sz w:val="16"/>
                            </w:rPr>
                            <w:t>Suppl</w:t>
                          </w:r>
                          <w:proofErr w:type="spellEnd"/>
                          <w:r w:rsidRPr="00BF542E">
                            <w:rPr>
                              <w:rFonts w:ascii="Arial"/>
                              <w:color w:val="FFFFFF"/>
                              <w:sz w:val="16"/>
                            </w:rPr>
                            <w:t>)</w:t>
                          </w:r>
                        </w:p>
                        <w:p w:rsidR="00AE3E37" w:rsidRPr="00BF542E" w:rsidRDefault="00A9710C">
                          <w:pPr>
                            <w:spacing w:before="116"/>
                            <w:ind w:right="18"/>
                            <w:jc w:val="right"/>
                            <w:rPr>
                              <w:rFonts w:ascii="Minion Pro"/>
                              <w:color w:val="FFFFFF"/>
                              <w:sz w:val="16"/>
                            </w:rPr>
                          </w:pPr>
                          <w:r w:rsidRPr="00BF542E">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BF542E" w:rsidRDefault="00A9710C">
                    <w:pPr>
                      <w:spacing w:line="184" w:lineRule="exact"/>
                      <w:ind w:right="18"/>
                      <w:jc w:val="right"/>
                      <w:rPr>
                        <w:rFonts w:ascii="Arial"/>
                        <w:color w:val="FFFFFF"/>
                        <w:sz w:val="16"/>
                      </w:rPr>
                    </w:pPr>
                    <w:r w:rsidRPr="00BF542E">
                      <w:rPr>
                        <w:rFonts w:ascii="Arial"/>
                        <w:color w:val="FFFFFF"/>
                        <w:sz w:val="16"/>
                      </w:rPr>
                      <w:t>Volume 5, Issue 3(</w:t>
                    </w:r>
                    <w:proofErr w:type="spellStart"/>
                    <w:r w:rsidRPr="00BF542E">
                      <w:rPr>
                        <w:rFonts w:ascii="Arial"/>
                        <w:color w:val="FFFFFF"/>
                        <w:sz w:val="16"/>
                      </w:rPr>
                      <w:t>Suppl</w:t>
                    </w:r>
                    <w:proofErr w:type="spellEnd"/>
                    <w:r w:rsidRPr="00BF542E">
                      <w:rPr>
                        <w:rFonts w:ascii="Arial"/>
                        <w:color w:val="FFFFFF"/>
                        <w:sz w:val="16"/>
                      </w:rPr>
                      <w:t>)</w:t>
                    </w:r>
                  </w:p>
                  <w:p w:rsidR="00AE3E37" w:rsidRPr="00BF542E" w:rsidRDefault="00A9710C">
                    <w:pPr>
                      <w:spacing w:before="116"/>
                      <w:ind w:right="18"/>
                      <w:jc w:val="right"/>
                      <w:rPr>
                        <w:rFonts w:ascii="Minion Pro"/>
                        <w:color w:val="FFFFFF"/>
                        <w:sz w:val="16"/>
                      </w:rPr>
                    </w:pPr>
                    <w:r w:rsidRPr="00BF542E">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2823" w:rsidRDefault="006C2823">
      <w:r>
        <w:separator/>
      </w:r>
    </w:p>
  </w:footnote>
  <w:footnote w:type="continuationSeparator" w:id="0">
    <w:p w:rsidR="006C2823" w:rsidRDefault="006C2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F542E" w:rsidRDefault="00A9710C">
                          <w:pPr>
                            <w:spacing w:before="2" w:line="249" w:lineRule="auto"/>
                            <w:ind w:left="156" w:right="18" w:hanging="137"/>
                            <w:rPr>
                              <w:rFonts w:ascii="Arial"/>
                              <w:color w:val="FFFFFF"/>
                              <w:sz w:val="14"/>
                            </w:rPr>
                          </w:pPr>
                          <w:r w:rsidRPr="00BF542E">
                            <w:rPr>
                              <w:rFonts w:ascii="Arial"/>
                              <w:color w:val="FFFFFF"/>
                              <w:sz w:val="14"/>
                            </w:rPr>
                            <w:t xml:space="preserve">T </w:t>
                          </w:r>
                          <w:proofErr w:type="spellStart"/>
                          <w:r w:rsidRPr="00BF542E">
                            <w:rPr>
                              <w:rFonts w:ascii="Arial"/>
                              <w:color w:val="FFFFFF"/>
                              <w:sz w:val="14"/>
                            </w:rPr>
                            <w:t>Furuta</w:t>
                          </w:r>
                          <w:proofErr w:type="spellEnd"/>
                          <w:r w:rsidRPr="00BF542E">
                            <w:rPr>
                              <w:rFonts w:ascii="Arial"/>
                              <w:color w:val="FFFFFF"/>
                              <w:sz w:val="14"/>
                            </w:rPr>
                            <w:t xml:space="preserve"> et al., J Pai n Relief 2016, 5:3(</w:t>
                          </w:r>
                          <w:proofErr w:type="spellStart"/>
                          <w:r w:rsidRPr="00BF542E">
                            <w:rPr>
                              <w:rFonts w:ascii="Arial"/>
                              <w:color w:val="FFFFFF"/>
                              <w:sz w:val="14"/>
                            </w:rPr>
                            <w:t>Suppl</w:t>
                          </w:r>
                          <w:proofErr w:type="spellEnd"/>
                          <w:r w:rsidRPr="00BF542E">
                            <w:rPr>
                              <w:rFonts w:ascii="Arial"/>
                              <w:color w:val="FFFFFF"/>
                              <w:sz w:val="14"/>
                            </w:rPr>
                            <w:t xml:space="preserve">) </w:t>
                          </w:r>
                          <w:hyperlink r:id="rId1">
                            <w:r w:rsidRPr="00BF542E">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BF542E" w:rsidRDefault="00A9710C">
                    <w:pPr>
                      <w:spacing w:before="2" w:line="249" w:lineRule="auto"/>
                      <w:ind w:left="156" w:right="18" w:hanging="137"/>
                      <w:rPr>
                        <w:rFonts w:ascii="Arial"/>
                        <w:color w:val="FFFFFF"/>
                        <w:sz w:val="14"/>
                      </w:rPr>
                    </w:pPr>
                    <w:r w:rsidRPr="00BF542E">
                      <w:rPr>
                        <w:rFonts w:ascii="Arial"/>
                        <w:color w:val="FFFFFF"/>
                        <w:sz w:val="14"/>
                      </w:rPr>
                      <w:t xml:space="preserve">T </w:t>
                    </w:r>
                    <w:proofErr w:type="spellStart"/>
                    <w:r w:rsidRPr="00BF542E">
                      <w:rPr>
                        <w:rFonts w:ascii="Arial"/>
                        <w:color w:val="FFFFFF"/>
                        <w:sz w:val="14"/>
                      </w:rPr>
                      <w:t>Furuta</w:t>
                    </w:r>
                    <w:proofErr w:type="spellEnd"/>
                    <w:r w:rsidRPr="00BF542E">
                      <w:rPr>
                        <w:rFonts w:ascii="Arial"/>
                        <w:color w:val="FFFFFF"/>
                        <w:sz w:val="14"/>
                      </w:rPr>
                      <w:t xml:space="preserve"> et al., J Pai n Relief 2016, 5:3(</w:t>
                    </w:r>
                    <w:proofErr w:type="spellStart"/>
                    <w:r w:rsidRPr="00BF542E">
                      <w:rPr>
                        <w:rFonts w:ascii="Arial"/>
                        <w:color w:val="FFFFFF"/>
                        <w:sz w:val="14"/>
                      </w:rPr>
                      <w:t>Suppl</w:t>
                    </w:r>
                    <w:proofErr w:type="spellEnd"/>
                    <w:r w:rsidRPr="00BF542E">
                      <w:rPr>
                        <w:rFonts w:ascii="Arial"/>
                        <w:color w:val="FFFFFF"/>
                        <w:sz w:val="14"/>
                      </w:rPr>
                      <w:t xml:space="preserve">) </w:t>
                    </w:r>
                    <w:hyperlink r:id="rId2">
                      <w:r w:rsidRPr="00BF542E">
                        <w:rPr>
                          <w:rFonts w:ascii="Arial"/>
                          <w:color w:val="FFFFFF"/>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F542E" w:rsidRDefault="00A9710C">
                          <w:pPr>
                            <w:pStyle w:val="BodyText"/>
                            <w:spacing w:line="187" w:lineRule="exact"/>
                            <w:ind w:left="20" w:right="-10"/>
                            <w:rPr>
                              <w:rFonts w:ascii="Myriad Pro"/>
                              <w:color w:val="FFFFFF"/>
                            </w:rPr>
                          </w:pPr>
                          <w:r w:rsidRPr="00BF542E">
                            <w:rPr>
                              <w:rFonts w:ascii="Myriad Pro"/>
                              <w:color w:val="FFFFFF"/>
                            </w:rPr>
                            <w:t>International Conference on</w:t>
                          </w:r>
                        </w:p>
                        <w:p w:rsidR="00AE3E37" w:rsidRPr="00BF542E" w:rsidRDefault="00A9710C">
                          <w:pPr>
                            <w:spacing w:line="614" w:lineRule="exact"/>
                            <w:ind w:left="20" w:right="-10"/>
                            <w:rPr>
                              <w:rFonts w:ascii="Minion Pro"/>
                              <w:color w:val="FFFFFF"/>
                              <w:sz w:val="24"/>
                            </w:rPr>
                          </w:pPr>
                          <w:r w:rsidRPr="00BF542E">
                            <w:rPr>
                              <w:rFonts w:ascii="Impact"/>
                              <w:color w:val="FFFFFF"/>
                              <w:sz w:val="52"/>
                            </w:rPr>
                            <w:t xml:space="preserve">Fibromyalgia and Chronic Pain </w:t>
                          </w:r>
                          <w:r w:rsidRPr="00BF542E">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BF542E" w:rsidRDefault="00A9710C">
                    <w:pPr>
                      <w:pStyle w:val="BodyText"/>
                      <w:spacing w:line="187" w:lineRule="exact"/>
                      <w:ind w:left="20" w:right="-10"/>
                      <w:rPr>
                        <w:rFonts w:ascii="Myriad Pro"/>
                        <w:color w:val="FFFFFF"/>
                      </w:rPr>
                    </w:pPr>
                    <w:r w:rsidRPr="00BF542E">
                      <w:rPr>
                        <w:rFonts w:ascii="Myriad Pro"/>
                        <w:color w:val="FFFFFF"/>
                      </w:rPr>
                      <w:t>International Conference on</w:t>
                    </w:r>
                  </w:p>
                  <w:p w:rsidR="00AE3E37" w:rsidRPr="00BF542E" w:rsidRDefault="00A9710C">
                    <w:pPr>
                      <w:spacing w:line="614" w:lineRule="exact"/>
                      <w:ind w:left="20" w:right="-10"/>
                      <w:rPr>
                        <w:rFonts w:ascii="Minion Pro"/>
                        <w:color w:val="FFFFFF"/>
                        <w:sz w:val="24"/>
                      </w:rPr>
                    </w:pPr>
                    <w:r w:rsidRPr="00BF542E">
                      <w:rPr>
                        <w:rFonts w:ascii="Impact"/>
                        <w:color w:val="FFFFFF"/>
                        <w:sz w:val="52"/>
                      </w:rPr>
                      <w:t xml:space="preserve">Fibromyalgia and Chronic Pain </w:t>
                    </w:r>
                    <w:r w:rsidRPr="00BF542E">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D6C5B93"/>
    <w:multiLevelType w:val="hybridMultilevel"/>
    <w:tmpl w:val="D7CAF2CA"/>
    <w:lvl w:ilvl="0" w:tplc="E2E89380">
      <w:start w:val="1"/>
      <w:numFmt w:val="decimal"/>
      <w:lvlText w:val="%1."/>
      <w:lvlJc w:val="left"/>
      <w:pPr>
        <w:ind w:left="2430" w:hanging="360"/>
      </w:pPr>
      <w:rPr>
        <w:rFonts w:hint="default"/>
        <w:vertAlign w:val="baseline"/>
      </w:rPr>
    </w:lvl>
    <w:lvl w:ilvl="1" w:tplc="ACA49078" w:tentative="1">
      <w:start w:val="1"/>
      <w:numFmt w:val="lowerLetter"/>
      <w:lvlText w:val="%2."/>
      <w:lvlJc w:val="left"/>
      <w:pPr>
        <w:ind w:left="3150" w:hanging="360"/>
      </w:pPr>
    </w:lvl>
    <w:lvl w:ilvl="2" w:tplc="B9B4D974" w:tentative="1">
      <w:start w:val="1"/>
      <w:numFmt w:val="lowerRoman"/>
      <w:lvlText w:val="%3."/>
      <w:lvlJc w:val="right"/>
      <w:pPr>
        <w:ind w:left="3870" w:hanging="180"/>
      </w:pPr>
    </w:lvl>
    <w:lvl w:ilvl="3" w:tplc="E5C8A4D4" w:tentative="1">
      <w:start w:val="1"/>
      <w:numFmt w:val="decimal"/>
      <w:lvlText w:val="%4."/>
      <w:lvlJc w:val="left"/>
      <w:pPr>
        <w:ind w:left="4590" w:hanging="360"/>
      </w:pPr>
    </w:lvl>
    <w:lvl w:ilvl="4" w:tplc="C31812B4" w:tentative="1">
      <w:start w:val="1"/>
      <w:numFmt w:val="lowerLetter"/>
      <w:lvlText w:val="%5."/>
      <w:lvlJc w:val="left"/>
      <w:pPr>
        <w:ind w:left="5310" w:hanging="360"/>
      </w:pPr>
    </w:lvl>
    <w:lvl w:ilvl="5" w:tplc="C270B936" w:tentative="1">
      <w:start w:val="1"/>
      <w:numFmt w:val="lowerRoman"/>
      <w:lvlText w:val="%6."/>
      <w:lvlJc w:val="right"/>
      <w:pPr>
        <w:ind w:left="6030" w:hanging="180"/>
      </w:pPr>
    </w:lvl>
    <w:lvl w:ilvl="6" w:tplc="0138244E" w:tentative="1">
      <w:start w:val="1"/>
      <w:numFmt w:val="decimal"/>
      <w:lvlText w:val="%7."/>
      <w:lvlJc w:val="left"/>
      <w:pPr>
        <w:ind w:left="6750" w:hanging="360"/>
      </w:pPr>
    </w:lvl>
    <w:lvl w:ilvl="7" w:tplc="36DAB60A" w:tentative="1">
      <w:start w:val="1"/>
      <w:numFmt w:val="lowerLetter"/>
      <w:lvlText w:val="%8."/>
      <w:lvlJc w:val="left"/>
      <w:pPr>
        <w:ind w:left="7470" w:hanging="360"/>
      </w:pPr>
    </w:lvl>
    <w:lvl w:ilvl="8" w:tplc="4AFC2DA0" w:tentative="1">
      <w:start w:val="1"/>
      <w:numFmt w:val="lowerRoman"/>
      <w:lvlText w:val="%9."/>
      <w:lvlJc w:val="right"/>
      <w:pPr>
        <w:ind w:left="819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1336E"/>
    <w:rsid w:val="002455EC"/>
    <w:rsid w:val="00292ED9"/>
    <w:rsid w:val="00404E5B"/>
    <w:rsid w:val="00414F7B"/>
    <w:rsid w:val="004355DC"/>
    <w:rsid w:val="004749B4"/>
    <w:rsid w:val="00494130"/>
    <w:rsid w:val="004F3523"/>
    <w:rsid w:val="005973B9"/>
    <w:rsid w:val="005B3A56"/>
    <w:rsid w:val="006060CE"/>
    <w:rsid w:val="0063497F"/>
    <w:rsid w:val="006C2823"/>
    <w:rsid w:val="006E39B0"/>
    <w:rsid w:val="007F55D9"/>
    <w:rsid w:val="00873DF0"/>
    <w:rsid w:val="008756E6"/>
    <w:rsid w:val="008A08B6"/>
    <w:rsid w:val="008D4604"/>
    <w:rsid w:val="00954AC9"/>
    <w:rsid w:val="009B2D44"/>
    <w:rsid w:val="00A07E82"/>
    <w:rsid w:val="00A9710C"/>
    <w:rsid w:val="00AE3E37"/>
    <w:rsid w:val="00B21A57"/>
    <w:rsid w:val="00BF542E"/>
    <w:rsid w:val="00C33602"/>
    <w:rsid w:val="00CD0466"/>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F915D2"/>
  <w15:docId w15:val="{B2872A40-09FA-40A3-AB3A-C94E06C1F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holeglady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hyperlink" Target="https://doi.org/10.1046/j.1365-2095.2003.00278.x" TargetMode="External"/><Relationship Id="rId4" Type="http://schemas.openxmlformats.org/officeDocument/2006/relationships/webSettings" Target="webSettings.xml"/><Relationship Id="rId9" Type="http://schemas.openxmlformats.org/officeDocument/2006/relationships/hyperlink" Target="https://doi.org/10.1111/j.1365-2109.02254.x"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768</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6</cp:revision>
  <dcterms:created xsi:type="dcterms:W3CDTF">2021-02-27T07:51:00Z</dcterms:created>
  <dcterms:modified xsi:type="dcterms:W3CDTF">2021-02-27T08:21:00Z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