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6176" w:rsidRDefault="00546176" w:rsidP="00546176">
      <w:pPr>
        <w:pStyle w:val="Heading1"/>
        <w:spacing w:before="170"/>
        <w:ind w:left="0"/>
        <w:rPr>
          <w:rFonts w:ascii="Cambria Math" w:hAnsi="Cambria Math"/>
          <w:color w:val="337AB7"/>
        </w:rPr>
      </w:pPr>
      <w:r>
        <w:rPr>
          <w:color w:val="337AB7"/>
        </w:rPr>
        <w:t xml:space="preserve">A comparison of growth parameters of Arctic </w:t>
      </w:r>
      <w:proofErr w:type="spellStart"/>
      <w:r>
        <w:rPr>
          <w:color w:val="337AB7"/>
        </w:rPr>
        <w:t>charr</w:t>
      </w:r>
      <w:proofErr w:type="spellEnd"/>
      <w:r>
        <w:rPr>
          <w:color w:val="337AB7"/>
        </w:rPr>
        <w:t xml:space="preserve"> and Hybrid </w:t>
      </w:r>
      <w:proofErr w:type="spellStart"/>
      <w:r>
        <w:rPr>
          <w:color w:val="337AB7"/>
        </w:rPr>
        <w:t>charr</w:t>
      </w:r>
      <w:proofErr w:type="spellEnd"/>
      <w:r>
        <w:rPr>
          <w:color w:val="337AB7"/>
        </w:rPr>
        <w:t xml:space="preserve"> </w:t>
      </w:r>
      <w:r>
        <w:rPr>
          <w:rFonts w:ascii="Cambria Math" w:hAnsi="Cambria Math"/>
          <w:color w:val="337AB7"/>
        </w:rPr>
        <w:t>fry in a recirculating aquaculture system</w:t>
      </w:r>
    </w:p>
    <w:p w:rsidR="00546176" w:rsidRDefault="00546176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Grazina Zibiene (Gra</w:t>
      </w:r>
      <w:r>
        <w:rPr>
          <w:rFonts w:ascii="Arial"/>
        </w:rPr>
        <w:t>ž</w:t>
      </w:r>
      <w:r>
        <w:rPr>
          <w:rFonts w:ascii="Arial"/>
        </w:rPr>
        <w:t xml:space="preserve">ina </w:t>
      </w:r>
      <w:r>
        <w:rPr>
          <w:rFonts w:ascii="Arial"/>
        </w:rPr>
        <w:t>Ž</w:t>
      </w:r>
      <w:r>
        <w:rPr>
          <w:rFonts w:ascii="Arial"/>
        </w:rPr>
        <w:t>ibien</w:t>
      </w:r>
      <w:r>
        <w:rPr>
          <w:rFonts w:ascii="Arial"/>
        </w:rPr>
        <w:t>ė</w:t>
      </w:r>
      <w:r>
        <w:rPr>
          <w:rFonts w:ascii="Arial"/>
        </w:rPr>
        <w:t>)</w:t>
      </w:r>
      <w:r w:rsidR="005973B9">
        <w:rPr>
          <w:rFonts w:ascii="Arial"/>
        </w:rPr>
        <w:t xml:space="preserve">, </w:t>
      </w:r>
      <w:r>
        <w:rPr>
          <w:rFonts w:ascii="Arial"/>
        </w:rPr>
        <w:t>dr. VMU, Lithuania</w:t>
      </w:r>
    </w:p>
    <w:p w:rsidR="00AE3E37" w:rsidRDefault="00546176" w:rsidP="00546176">
      <w:pPr>
        <w:pStyle w:val="BodyText"/>
        <w:spacing w:before="73" w:line="198" w:lineRule="exact"/>
        <w:ind w:left="100" w:right="5987"/>
        <w:rPr>
          <w:rFonts w:ascii="Arial"/>
          <w:sz w:val="20"/>
        </w:rPr>
      </w:pPr>
      <w:r>
        <w:rPr>
          <w:rFonts w:ascii="Arial"/>
        </w:rPr>
        <w:t xml:space="preserve">Alvydas </w:t>
      </w:r>
      <w:proofErr w:type="spellStart"/>
      <w:r>
        <w:rPr>
          <w:rFonts w:ascii="Arial"/>
        </w:rPr>
        <w:t>Zibas</w:t>
      </w:r>
      <w:proofErr w:type="spellEnd"/>
      <w:r>
        <w:rPr>
          <w:rFonts w:ascii="Arial"/>
        </w:rPr>
        <w:t xml:space="preserve"> (Alvydas </w:t>
      </w:r>
      <w:proofErr w:type="spellStart"/>
      <w:r>
        <w:rPr>
          <w:rFonts w:ascii="Arial"/>
        </w:rPr>
        <w:t>Zibas</w:t>
      </w:r>
      <w:proofErr w:type="spellEnd"/>
      <w:r>
        <w:rPr>
          <w:rFonts w:ascii="Arial"/>
        </w:rPr>
        <w:t xml:space="preserve">), </w:t>
      </w:r>
      <w:r w:rsidR="00271E22">
        <w:rPr>
          <w:rFonts w:ascii="Arial"/>
        </w:rPr>
        <w:t xml:space="preserve">Head of Aquaculture Centre, </w:t>
      </w:r>
      <w:r>
        <w:rPr>
          <w:rFonts w:ascii="Arial"/>
        </w:rPr>
        <w:t>VMU, Lithuania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284EC3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546176" w:rsidRDefault="00546176" w:rsidP="00284EC3">
      <w:pPr>
        <w:spacing w:line="276" w:lineRule="auto"/>
        <w:jc w:val="both"/>
        <w:rPr>
          <w:rFonts w:ascii="Arial" w:eastAsia="Times New Roman" w:hAnsi="Arial" w:cs="Arial"/>
          <w:sz w:val="20"/>
          <w:szCs w:val="20"/>
          <w:lang w:eastAsia="lt-LT"/>
        </w:rPr>
      </w:pPr>
      <w:r w:rsidRPr="00546176">
        <w:rPr>
          <w:rFonts w:eastAsia="Times New Roman" w:cs="Arial"/>
          <w:bCs/>
          <w:sz w:val="18"/>
          <w:szCs w:val="18"/>
          <w:lang w:eastAsia="lt-LT"/>
        </w:rPr>
        <w:t xml:space="preserve">This study was performed to evaluate </w:t>
      </w:r>
      <w:r w:rsidRPr="00546176">
        <w:rPr>
          <w:rFonts w:eastAsia="Times New Roman" w:cs="Arial"/>
          <w:sz w:val="18"/>
          <w:szCs w:val="18"/>
          <w:lang w:eastAsia="lt-LT"/>
        </w:rPr>
        <w:t xml:space="preserve">Arctic </w:t>
      </w:r>
      <w:proofErr w:type="spellStart"/>
      <w:r w:rsidRPr="00546176">
        <w:rPr>
          <w:rFonts w:eastAsia="Times New Roman" w:cs="Arial"/>
          <w:sz w:val="18"/>
          <w:szCs w:val="18"/>
          <w:lang w:eastAsia="lt-LT"/>
        </w:rPr>
        <w:t>charr</w:t>
      </w:r>
      <w:proofErr w:type="spellEnd"/>
      <w:r w:rsidRPr="00546176">
        <w:rPr>
          <w:rFonts w:eastAsia="Times New Roman" w:cs="Arial"/>
          <w:sz w:val="18"/>
          <w:szCs w:val="18"/>
          <w:lang w:eastAsia="lt-LT"/>
        </w:rPr>
        <w:t xml:space="preserve"> (</w:t>
      </w:r>
      <w:r w:rsidRPr="00546176">
        <w:rPr>
          <w:rFonts w:eastAsia="Times New Roman" w:cs="Arial"/>
          <w:i/>
          <w:sz w:val="18"/>
          <w:szCs w:val="18"/>
          <w:lang w:eastAsia="lt-LT"/>
        </w:rPr>
        <w:t xml:space="preserve">Salvelinus </w:t>
      </w:r>
      <w:proofErr w:type="spellStart"/>
      <w:r w:rsidRPr="00546176">
        <w:rPr>
          <w:rFonts w:eastAsia="Times New Roman" w:cs="Arial"/>
          <w:i/>
          <w:sz w:val="18"/>
          <w:szCs w:val="18"/>
          <w:lang w:eastAsia="lt-LT"/>
        </w:rPr>
        <w:t>alpinus</w:t>
      </w:r>
      <w:proofErr w:type="spellEnd"/>
      <w:r w:rsidRPr="00546176">
        <w:rPr>
          <w:rFonts w:eastAsia="Times New Roman" w:cs="Arial"/>
          <w:sz w:val="18"/>
          <w:szCs w:val="18"/>
          <w:lang w:eastAsia="lt-LT"/>
        </w:rPr>
        <w:t>) and Hybrid char (</w:t>
      </w:r>
      <w:r w:rsidRPr="00546176">
        <w:rPr>
          <w:rFonts w:eastAsia="Times New Roman" w:cs="Arial"/>
          <w:i/>
          <w:sz w:val="18"/>
          <w:szCs w:val="18"/>
          <w:lang w:eastAsia="lt-LT"/>
        </w:rPr>
        <w:t xml:space="preserve">Salvelinus fontinalis × Salvelinus </w:t>
      </w:r>
      <w:proofErr w:type="spellStart"/>
      <w:r w:rsidRPr="00546176">
        <w:rPr>
          <w:rFonts w:eastAsia="Times New Roman" w:cs="Arial"/>
          <w:i/>
          <w:sz w:val="18"/>
          <w:szCs w:val="18"/>
          <w:lang w:eastAsia="lt-LT"/>
        </w:rPr>
        <w:t>alpinus</w:t>
      </w:r>
      <w:proofErr w:type="spellEnd"/>
      <w:r w:rsidRPr="00546176">
        <w:rPr>
          <w:rFonts w:eastAsia="Times New Roman" w:cs="Arial"/>
          <w:sz w:val="18"/>
          <w:szCs w:val="18"/>
          <w:lang w:eastAsia="lt-LT"/>
        </w:rPr>
        <w:t xml:space="preserve">) fry and </w:t>
      </w:r>
      <w:r w:rsidRPr="00546176">
        <w:rPr>
          <w:rFonts w:eastAsia="Times New Roman" w:cs="Arial"/>
          <w:bCs/>
          <w:sz w:val="18"/>
          <w:szCs w:val="18"/>
          <w:lang w:eastAsia="lt-LT"/>
        </w:rPr>
        <w:t xml:space="preserve">the differences in their growth parameters and survivability when the fish were grown under the same conditions in recirculating aquaculture systems. </w:t>
      </w:r>
      <w:r w:rsidR="00284EC3" w:rsidRPr="00284EC3">
        <w:rPr>
          <w:rFonts w:cs="Arial"/>
          <w:color w:val="231F20"/>
          <w:sz w:val="18"/>
          <w:szCs w:val="18"/>
        </w:rPr>
        <w:t xml:space="preserve">They were fed with the same feed and feed rate. The faster growth of Arctic </w:t>
      </w:r>
      <w:proofErr w:type="spellStart"/>
      <w:r w:rsidR="00284EC3" w:rsidRPr="00284EC3">
        <w:rPr>
          <w:rFonts w:cs="Arial"/>
          <w:color w:val="231F20"/>
          <w:sz w:val="18"/>
          <w:szCs w:val="18"/>
        </w:rPr>
        <w:t>charr</w:t>
      </w:r>
      <w:proofErr w:type="spellEnd"/>
      <w:r w:rsidR="00284EC3" w:rsidRPr="00284EC3">
        <w:rPr>
          <w:rFonts w:cs="Arial"/>
          <w:color w:val="231F20"/>
          <w:sz w:val="18"/>
          <w:szCs w:val="18"/>
        </w:rPr>
        <w:t xml:space="preserve"> during this study can be explained by a higher feed acquisition and terrific feed quality because the fry </w:t>
      </w:r>
      <w:proofErr w:type="gramStart"/>
      <w:r w:rsidR="00284EC3" w:rsidRPr="00284EC3">
        <w:rPr>
          <w:rFonts w:cs="Arial"/>
          <w:color w:val="231F20"/>
          <w:sz w:val="18"/>
          <w:szCs w:val="18"/>
        </w:rPr>
        <w:t>were</w:t>
      </w:r>
      <w:proofErr w:type="gramEnd"/>
      <w:r w:rsidR="00284EC3" w:rsidRPr="00284EC3">
        <w:rPr>
          <w:rFonts w:cs="Arial"/>
          <w:color w:val="231F20"/>
          <w:sz w:val="18"/>
          <w:szCs w:val="18"/>
        </w:rPr>
        <w:t xml:space="preserve"> fed using feed meant for Arctic </w:t>
      </w:r>
      <w:proofErr w:type="spellStart"/>
      <w:r w:rsidR="00284EC3" w:rsidRPr="00284EC3">
        <w:rPr>
          <w:rFonts w:cs="Arial"/>
          <w:color w:val="231F20"/>
          <w:sz w:val="18"/>
          <w:szCs w:val="18"/>
        </w:rPr>
        <w:t>charr</w:t>
      </w:r>
      <w:proofErr w:type="spellEnd"/>
      <w:r w:rsidR="00284EC3" w:rsidRPr="00284EC3">
        <w:rPr>
          <w:rFonts w:cs="Arial"/>
          <w:color w:val="231F20"/>
          <w:sz w:val="18"/>
          <w:szCs w:val="18"/>
        </w:rPr>
        <w:t xml:space="preserve"> fry. </w:t>
      </w:r>
      <w:r w:rsidR="00BF05EC" w:rsidRPr="00284EC3">
        <w:rPr>
          <w:rFonts w:cs="Arial"/>
          <w:color w:val="231F20"/>
          <w:sz w:val="18"/>
          <w:szCs w:val="18"/>
        </w:rPr>
        <w:t xml:space="preserve">During this study, the Arctic </w:t>
      </w:r>
      <w:proofErr w:type="spellStart"/>
      <w:r w:rsidR="00BF05EC" w:rsidRPr="00284EC3">
        <w:rPr>
          <w:rFonts w:cs="Arial"/>
          <w:color w:val="231F20"/>
          <w:sz w:val="18"/>
          <w:szCs w:val="18"/>
        </w:rPr>
        <w:t>charr</w:t>
      </w:r>
      <w:proofErr w:type="spellEnd"/>
      <w:r w:rsidR="00BF05EC" w:rsidRPr="00284EC3">
        <w:rPr>
          <w:rFonts w:cs="Arial"/>
          <w:color w:val="231F20"/>
          <w:sz w:val="18"/>
          <w:szCs w:val="18"/>
        </w:rPr>
        <w:t xml:space="preserve"> fry reached their recommended weight in 70 days. That period was slightly longer than the 60 days indicated by (Johnston, 2008). Hybrid </w:t>
      </w:r>
      <w:proofErr w:type="spellStart"/>
      <w:r w:rsidR="00BF05EC" w:rsidRPr="00284EC3">
        <w:rPr>
          <w:rFonts w:cs="Arial"/>
          <w:color w:val="231F20"/>
          <w:sz w:val="18"/>
          <w:szCs w:val="18"/>
        </w:rPr>
        <w:t>charr</w:t>
      </w:r>
      <w:proofErr w:type="spellEnd"/>
      <w:r w:rsidR="00BF05EC" w:rsidRPr="00284EC3">
        <w:rPr>
          <w:rFonts w:cs="Arial"/>
          <w:color w:val="231F20"/>
          <w:sz w:val="18"/>
          <w:szCs w:val="18"/>
        </w:rPr>
        <w:t xml:space="preserve"> fry did not reach the lowest level for recommended size. </w:t>
      </w:r>
      <w:r w:rsidRPr="00546176">
        <w:rPr>
          <w:rFonts w:eastAsia="Times New Roman" w:cs="Arial"/>
          <w:sz w:val="18"/>
          <w:szCs w:val="18"/>
          <w:lang w:eastAsia="lt-LT"/>
        </w:rPr>
        <w:t>Significant differences (</w:t>
      </w:r>
      <w:r w:rsidRPr="00546176">
        <w:rPr>
          <w:rFonts w:eastAsia="Times New Roman" w:cs="Arial"/>
          <w:i/>
          <w:sz w:val="18"/>
          <w:szCs w:val="18"/>
          <w:lang w:eastAsia="lt-LT"/>
        </w:rPr>
        <w:t>p</w:t>
      </w:r>
      <w:r w:rsidRPr="00546176">
        <w:rPr>
          <w:rFonts w:eastAsia="Times New Roman" w:cs="Arial"/>
          <w:sz w:val="18"/>
          <w:szCs w:val="18"/>
          <w:lang w:eastAsia="lt-LT"/>
        </w:rPr>
        <w:t xml:space="preserve">&lt;0.05) were observed between the measured growth parameters. Survivability was similar between the Arctic </w:t>
      </w:r>
      <w:proofErr w:type="spellStart"/>
      <w:r w:rsidRPr="00546176">
        <w:rPr>
          <w:rFonts w:eastAsia="Times New Roman" w:cs="Arial"/>
          <w:sz w:val="18"/>
          <w:szCs w:val="18"/>
          <w:lang w:eastAsia="lt-LT"/>
        </w:rPr>
        <w:t>charr</w:t>
      </w:r>
      <w:proofErr w:type="spellEnd"/>
      <w:r w:rsidRPr="00546176">
        <w:rPr>
          <w:rFonts w:eastAsia="Times New Roman" w:cs="Arial"/>
          <w:sz w:val="18"/>
          <w:szCs w:val="18"/>
          <w:lang w:eastAsia="lt-LT"/>
        </w:rPr>
        <w:t xml:space="preserve"> and Hybrid </w:t>
      </w:r>
      <w:proofErr w:type="spellStart"/>
      <w:r w:rsidRPr="00546176">
        <w:rPr>
          <w:rFonts w:eastAsia="Times New Roman" w:cs="Arial"/>
          <w:sz w:val="18"/>
          <w:szCs w:val="18"/>
          <w:lang w:eastAsia="lt-LT"/>
        </w:rPr>
        <w:t>charr</w:t>
      </w:r>
      <w:proofErr w:type="spellEnd"/>
      <w:r w:rsidRPr="00546176">
        <w:rPr>
          <w:rFonts w:eastAsia="Times New Roman" w:cs="Arial"/>
          <w:sz w:val="18"/>
          <w:szCs w:val="18"/>
          <w:lang w:eastAsia="lt-LT"/>
        </w:rPr>
        <w:t xml:space="preserve"> fry during the study period. The study shows that the growth parameters of the Arctic </w:t>
      </w:r>
      <w:proofErr w:type="spellStart"/>
      <w:r w:rsidRPr="00546176">
        <w:rPr>
          <w:rFonts w:eastAsia="Times New Roman" w:cs="Arial"/>
          <w:sz w:val="18"/>
          <w:szCs w:val="18"/>
          <w:lang w:eastAsia="lt-LT"/>
        </w:rPr>
        <w:t>charr</w:t>
      </w:r>
      <w:proofErr w:type="spellEnd"/>
      <w:r w:rsidRPr="00546176">
        <w:rPr>
          <w:rFonts w:eastAsia="Times New Roman" w:cs="Arial"/>
          <w:sz w:val="18"/>
          <w:szCs w:val="18"/>
          <w:lang w:eastAsia="lt-LT"/>
        </w:rPr>
        <w:t xml:space="preserve"> fry were significantly higher than the growth parameters of the Hybrid </w:t>
      </w:r>
      <w:proofErr w:type="spellStart"/>
      <w:r w:rsidRPr="00546176">
        <w:rPr>
          <w:rFonts w:eastAsia="Times New Roman" w:cs="Arial"/>
          <w:sz w:val="18"/>
          <w:szCs w:val="18"/>
          <w:lang w:eastAsia="lt-LT"/>
        </w:rPr>
        <w:t>charr</w:t>
      </w:r>
      <w:proofErr w:type="spellEnd"/>
      <w:r w:rsidRPr="00546176">
        <w:rPr>
          <w:rFonts w:eastAsia="Times New Roman" w:cs="Arial"/>
          <w:sz w:val="18"/>
          <w:szCs w:val="18"/>
          <w:lang w:eastAsia="lt-LT"/>
        </w:rPr>
        <w:t xml:space="preserve"> fry. These results suggest that both species are suitable for growth in recirculating aquaculture systems, although Hybrid </w:t>
      </w:r>
      <w:proofErr w:type="spellStart"/>
      <w:r w:rsidRPr="00546176">
        <w:rPr>
          <w:rFonts w:eastAsia="Times New Roman" w:cs="Arial"/>
          <w:sz w:val="18"/>
          <w:szCs w:val="18"/>
          <w:lang w:eastAsia="lt-LT"/>
        </w:rPr>
        <w:t>charr</w:t>
      </w:r>
      <w:proofErr w:type="spellEnd"/>
      <w:r w:rsidRPr="00546176">
        <w:rPr>
          <w:rFonts w:eastAsia="Times New Roman" w:cs="Arial"/>
          <w:sz w:val="18"/>
          <w:szCs w:val="18"/>
          <w:lang w:eastAsia="lt-LT"/>
        </w:rPr>
        <w:t xml:space="preserve"> growth to market size took longer compared to that of Arctic </w:t>
      </w:r>
      <w:proofErr w:type="spellStart"/>
      <w:r w:rsidRPr="00546176">
        <w:rPr>
          <w:rFonts w:eastAsia="Times New Roman" w:cs="Arial"/>
          <w:sz w:val="18"/>
          <w:szCs w:val="18"/>
          <w:lang w:eastAsia="lt-LT"/>
        </w:rPr>
        <w:t>charr</w:t>
      </w:r>
      <w:proofErr w:type="spellEnd"/>
      <w:r w:rsidRPr="00386841">
        <w:rPr>
          <w:rFonts w:ascii="Arial" w:eastAsia="Times New Roman" w:hAnsi="Arial" w:cs="Arial"/>
          <w:sz w:val="20"/>
          <w:szCs w:val="20"/>
          <w:lang w:eastAsia="lt-LT"/>
        </w:rPr>
        <w:t>.</w:t>
      </w:r>
    </w:p>
    <w:p w:rsidR="00546176" w:rsidRPr="00B94A67" w:rsidRDefault="00546176" w:rsidP="00271E22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B94A67">
        <w:rPr>
          <w:noProof/>
          <w:lang w:eastAsia="lt-LT"/>
        </w:rPr>
        <w:drawing>
          <wp:inline distT="0" distB="0" distL="0" distR="0" wp14:anchorId="46B359CD" wp14:editId="6988EAAE">
            <wp:extent cx="3238500" cy="1986915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46176" w:rsidRPr="00546176" w:rsidRDefault="00546176" w:rsidP="00BE783D">
      <w:pPr>
        <w:ind w:left="142"/>
        <w:jc w:val="both"/>
        <w:rPr>
          <w:rFonts w:cs="Arial"/>
          <w:color w:val="000000"/>
          <w:sz w:val="18"/>
          <w:szCs w:val="18"/>
        </w:rPr>
      </w:pPr>
      <w:r w:rsidRPr="00546176">
        <w:rPr>
          <w:rFonts w:cs="Arial"/>
          <w:b/>
          <w:sz w:val="18"/>
          <w:szCs w:val="18"/>
        </w:rPr>
        <w:t>Fig. 1.</w:t>
      </w:r>
      <w:r w:rsidRPr="00546176">
        <w:rPr>
          <w:rFonts w:cs="Arial"/>
          <w:sz w:val="18"/>
          <w:szCs w:val="18"/>
        </w:rPr>
        <w:t xml:space="preserve"> Initial biomass, final biomass and biomass gain of Arctic </w:t>
      </w:r>
      <w:proofErr w:type="spellStart"/>
      <w:r w:rsidRPr="00546176">
        <w:rPr>
          <w:rFonts w:cs="Arial"/>
          <w:sz w:val="18"/>
          <w:szCs w:val="18"/>
        </w:rPr>
        <w:t>charr</w:t>
      </w:r>
      <w:proofErr w:type="spellEnd"/>
      <w:r w:rsidRPr="00546176">
        <w:rPr>
          <w:rFonts w:cs="Arial"/>
          <w:sz w:val="18"/>
          <w:szCs w:val="18"/>
        </w:rPr>
        <w:t xml:space="preserve"> and Hybrid </w:t>
      </w:r>
      <w:proofErr w:type="spellStart"/>
      <w:r w:rsidRPr="00546176">
        <w:rPr>
          <w:rFonts w:cs="Arial"/>
          <w:sz w:val="18"/>
          <w:szCs w:val="18"/>
        </w:rPr>
        <w:t>charr</w:t>
      </w:r>
      <w:proofErr w:type="spellEnd"/>
      <w:r w:rsidRPr="00546176">
        <w:rPr>
          <w:rFonts w:cs="Arial"/>
          <w:sz w:val="18"/>
          <w:szCs w:val="18"/>
        </w:rPr>
        <w:t xml:space="preserve"> at the beginning and the end of study. Data are shown as the mean (bars) ± standard deviation (whiskers) within the treatments. Bars </w:t>
      </w:r>
      <w:r w:rsidRPr="00546176">
        <w:rPr>
          <w:rFonts w:cs="Arial"/>
          <w:color w:val="131413"/>
          <w:sz w:val="18"/>
          <w:szCs w:val="18"/>
        </w:rPr>
        <w:t xml:space="preserve">with the same letters are not significantly different (ANOVA, </w:t>
      </w:r>
      <w:r w:rsidRPr="00546176">
        <w:rPr>
          <w:rFonts w:cs="Arial"/>
          <w:i/>
          <w:color w:val="131413"/>
          <w:sz w:val="18"/>
          <w:szCs w:val="18"/>
        </w:rPr>
        <w:t>P</w:t>
      </w:r>
      <w:r w:rsidRPr="00546176">
        <w:rPr>
          <w:rFonts w:cs="Arial"/>
          <w:color w:val="131413"/>
          <w:sz w:val="18"/>
          <w:szCs w:val="18"/>
        </w:rPr>
        <w:t xml:space="preserve"> &lt; 0.0</w:t>
      </w:r>
      <w:r w:rsidR="00BF05EC">
        <w:rPr>
          <w:rFonts w:cs="Arial"/>
          <w:color w:val="131413"/>
          <w:sz w:val="18"/>
          <w:szCs w:val="18"/>
        </w:rPr>
        <w:t>5</w:t>
      </w:r>
      <w:r w:rsidRPr="00546176">
        <w:rPr>
          <w:rFonts w:cs="Arial"/>
          <w:color w:val="131413"/>
          <w:sz w:val="18"/>
          <w:szCs w:val="18"/>
        </w:rPr>
        <w:t xml:space="preserve">) </w:t>
      </w:r>
    </w:p>
    <w:p w:rsidR="00AE3E37" w:rsidRDefault="00A9710C" w:rsidP="00271E22">
      <w:pPr>
        <w:pStyle w:val="Heading3"/>
        <w:spacing w:before="74"/>
        <w:ind w:left="142"/>
        <w:jc w:val="center"/>
        <w:rPr>
          <w:b w:val="0"/>
          <w:sz w:val="16"/>
        </w:rPr>
      </w:pPr>
      <w:r>
        <w:rPr>
          <w:b w:val="0"/>
        </w:rPr>
        <w:br w:type="column"/>
      </w:r>
      <w:r w:rsidR="00BE783D" w:rsidRPr="00B94A67">
        <w:rPr>
          <w:noProof/>
          <w:lang w:eastAsia="lt-LT"/>
        </w:rPr>
        <w:drawing>
          <wp:inline distT="0" distB="0" distL="0" distR="0" wp14:anchorId="43563F86" wp14:editId="5ECFD0FE">
            <wp:extent cx="2926080" cy="1856232"/>
            <wp:effectExtent l="0" t="0" r="762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E783D" w:rsidRPr="00BE783D" w:rsidRDefault="00BE783D" w:rsidP="00BE783D">
      <w:pPr>
        <w:spacing w:line="276" w:lineRule="auto"/>
        <w:ind w:left="142"/>
        <w:jc w:val="both"/>
        <w:rPr>
          <w:rFonts w:cs="Arial"/>
          <w:color w:val="000000"/>
          <w:sz w:val="18"/>
          <w:szCs w:val="18"/>
        </w:rPr>
      </w:pPr>
      <w:r w:rsidRPr="00BE783D">
        <w:rPr>
          <w:rFonts w:cs="Arial"/>
          <w:b/>
          <w:sz w:val="18"/>
          <w:szCs w:val="18"/>
        </w:rPr>
        <w:t>Fig. 2.</w:t>
      </w:r>
      <w:r w:rsidRPr="00BE783D">
        <w:rPr>
          <w:rFonts w:cs="Arial"/>
          <w:sz w:val="18"/>
          <w:szCs w:val="18"/>
        </w:rPr>
        <w:t xml:space="preserve"> Condition factor (CF), feed conversion coefficient (FCR), gross conversion efficiency (GCE) of the Arctic </w:t>
      </w:r>
      <w:proofErr w:type="spellStart"/>
      <w:r w:rsidRPr="00BE783D">
        <w:rPr>
          <w:rFonts w:cs="Arial"/>
          <w:sz w:val="18"/>
          <w:szCs w:val="18"/>
        </w:rPr>
        <w:t>charr</w:t>
      </w:r>
      <w:proofErr w:type="spellEnd"/>
      <w:r w:rsidRPr="00BE783D">
        <w:rPr>
          <w:rFonts w:cs="Arial"/>
          <w:sz w:val="18"/>
          <w:szCs w:val="18"/>
        </w:rPr>
        <w:t xml:space="preserve"> and Hybrid </w:t>
      </w:r>
      <w:proofErr w:type="spellStart"/>
      <w:r w:rsidRPr="00BE783D">
        <w:rPr>
          <w:rFonts w:cs="Arial"/>
          <w:sz w:val="18"/>
          <w:szCs w:val="18"/>
        </w:rPr>
        <w:t>charr</w:t>
      </w:r>
      <w:proofErr w:type="spellEnd"/>
      <w:r w:rsidRPr="00BE783D">
        <w:rPr>
          <w:rFonts w:cs="Arial"/>
          <w:sz w:val="18"/>
          <w:szCs w:val="18"/>
        </w:rPr>
        <w:t xml:space="preserve"> at the beginning and the end of study. Data are shown as the mean (bars) ± standard deviation (whiskers) within the treatments. Bars </w:t>
      </w:r>
      <w:r w:rsidRPr="00BE783D">
        <w:rPr>
          <w:rFonts w:cs="Arial"/>
          <w:color w:val="131413"/>
          <w:sz w:val="18"/>
          <w:szCs w:val="18"/>
        </w:rPr>
        <w:t xml:space="preserve">with the same letters are not significantly different (ANOVA, </w:t>
      </w:r>
      <w:r w:rsidRPr="00BE783D">
        <w:rPr>
          <w:rFonts w:cs="Arial"/>
          <w:i/>
          <w:color w:val="131413"/>
          <w:sz w:val="18"/>
          <w:szCs w:val="18"/>
        </w:rPr>
        <w:t>P</w:t>
      </w:r>
      <w:r w:rsidRPr="00BE783D">
        <w:rPr>
          <w:rFonts w:cs="Arial"/>
          <w:color w:val="131413"/>
          <w:sz w:val="18"/>
          <w:szCs w:val="18"/>
        </w:rPr>
        <w:t xml:space="preserve"> &lt; 0.0</w:t>
      </w:r>
      <w:r w:rsidR="00BF05EC">
        <w:rPr>
          <w:rFonts w:cs="Arial"/>
          <w:color w:val="131413"/>
          <w:sz w:val="18"/>
          <w:szCs w:val="18"/>
        </w:rPr>
        <w:t>5</w:t>
      </w:r>
      <w:r w:rsidRPr="00BE783D">
        <w:rPr>
          <w:rFonts w:cs="Arial"/>
          <w:color w:val="131413"/>
          <w:sz w:val="18"/>
          <w:szCs w:val="18"/>
        </w:rPr>
        <w:t xml:space="preserve">)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284EC3" w:rsidRPr="00284EC3" w:rsidRDefault="00284EC3" w:rsidP="005713D3">
      <w:pPr>
        <w:widowControl/>
        <w:numPr>
          <w:ilvl w:val="0"/>
          <w:numId w:val="4"/>
        </w:numPr>
        <w:ind w:left="426"/>
        <w:jc w:val="both"/>
        <w:rPr>
          <w:rFonts w:asciiTheme="minorHAnsi" w:hAnsiTheme="minorHAnsi" w:cstheme="minorHAnsi"/>
          <w:sz w:val="18"/>
          <w:szCs w:val="18"/>
        </w:rPr>
      </w:pPr>
      <w:r w:rsidRPr="00284EC3">
        <w:rPr>
          <w:rFonts w:asciiTheme="minorHAnsi" w:hAnsiTheme="minorHAnsi" w:cstheme="minorHAnsi"/>
          <w:b/>
          <w:sz w:val="18"/>
          <w:szCs w:val="18"/>
        </w:rPr>
        <w:t>Žibienė G.,</w:t>
      </w:r>
      <w:r w:rsidRPr="00284EC3">
        <w:rPr>
          <w:rFonts w:asciiTheme="minorHAnsi" w:hAnsiTheme="minorHAnsi" w:cstheme="minorHAnsi"/>
          <w:sz w:val="18"/>
          <w:szCs w:val="18"/>
        </w:rPr>
        <w:t xml:space="preserve"> Žibas A. 2019. Impact of Commercial Probiotics on Growth Parameters of European Catfish (</w:t>
      </w:r>
      <w:proofErr w:type="spellStart"/>
      <w:r w:rsidRPr="00284EC3">
        <w:rPr>
          <w:rFonts w:asciiTheme="minorHAnsi" w:hAnsiTheme="minorHAnsi" w:cstheme="minorHAnsi"/>
          <w:i/>
          <w:sz w:val="18"/>
          <w:szCs w:val="18"/>
        </w:rPr>
        <w:t>Silurus</w:t>
      </w:r>
      <w:proofErr w:type="spellEnd"/>
      <w:r w:rsidRPr="00284EC3">
        <w:rPr>
          <w:rFonts w:asciiTheme="minorHAnsi" w:hAnsiTheme="minorHAnsi" w:cstheme="minorHAnsi"/>
          <w:i/>
          <w:sz w:val="18"/>
          <w:szCs w:val="18"/>
        </w:rPr>
        <w:t xml:space="preserve"> </w:t>
      </w:r>
      <w:proofErr w:type="spellStart"/>
      <w:r w:rsidRPr="00284EC3">
        <w:rPr>
          <w:rFonts w:asciiTheme="minorHAnsi" w:hAnsiTheme="minorHAnsi" w:cstheme="minorHAnsi"/>
          <w:i/>
          <w:sz w:val="18"/>
          <w:szCs w:val="18"/>
        </w:rPr>
        <w:t>glanis</w:t>
      </w:r>
      <w:proofErr w:type="spellEnd"/>
      <w:r w:rsidRPr="00284EC3">
        <w:rPr>
          <w:rFonts w:asciiTheme="minorHAnsi" w:hAnsiTheme="minorHAnsi" w:cstheme="minorHAnsi"/>
          <w:sz w:val="18"/>
          <w:szCs w:val="18"/>
        </w:rPr>
        <w:t xml:space="preserve">) and Water Quality in Recirculating </w:t>
      </w:r>
      <w:proofErr w:type="spellStart"/>
      <w:r w:rsidRPr="00284EC3">
        <w:rPr>
          <w:rFonts w:asciiTheme="minorHAnsi" w:hAnsiTheme="minorHAnsi" w:cstheme="minorHAnsi"/>
          <w:sz w:val="18"/>
          <w:szCs w:val="18"/>
        </w:rPr>
        <w:t>Aqauculture</w:t>
      </w:r>
      <w:proofErr w:type="spellEnd"/>
      <w:r w:rsidRPr="00284EC3">
        <w:rPr>
          <w:rFonts w:asciiTheme="minorHAnsi" w:hAnsiTheme="minorHAnsi" w:cstheme="minorHAnsi"/>
          <w:sz w:val="18"/>
          <w:szCs w:val="18"/>
        </w:rPr>
        <w:t xml:space="preserve"> Systems. Aquaculture International. DOI: 10.1007/s10499-019-00428-9.</w:t>
      </w:r>
    </w:p>
    <w:p w:rsidR="00284EC3" w:rsidRPr="00284EC3" w:rsidRDefault="00284EC3" w:rsidP="005713D3">
      <w:pPr>
        <w:widowControl/>
        <w:numPr>
          <w:ilvl w:val="0"/>
          <w:numId w:val="4"/>
        </w:numPr>
        <w:ind w:left="426"/>
        <w:jc w:val="both"/>
        <w:rPr>
          <w:rFonts w:asciiTheme="minorHAnsi" w:eastAsia="Times New Roman" w:hAnsiTheme="minorHAnsi" w:cstheme="minorHAnsi"/>
          <w:sz w:val="18"/>
          <w:szCs w:val="18"/>
          <w:lang w:eastAsia="lt-LT"/>
        </w:rPr>
      </w:pPr>
      <w:r w:rsidRPr="00284EC3">
        <w:rPr>
          <w:rFonts w:asciiTheme="minorHAnsi" w:hAnsiTheme="minorHAnsi" w:cstheme="minorHAnsi"/>
          <w:b/>
          <w:sz w:val="18"/>
          <w:szCs w:val="18"/>
        </w:rPr>
        <w:t>Žibienė G.,</w:t>
      </w:r>
      <w:r w:rsidRPr="00284EC3">
        <w:rPr>
          <w:rFonts w:asciiTheme="minorHAnsi" w:hAnsiTheme="minorHAnsi" w:cstheme="minorHAnsi"/>
          <w:sz w:val="18"/>
          <w:szCs w:val="18"/>
        </w:rPr>
        <w:t xml:space="preserve"> Žibas A. 2019. </w:t>
      </w:r>
      <w:r w:rsidRPr="00284EC3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The Use of Zeolite for Water Quality Management in Cold Water Recirculation Aquaculture Systems // </w:t>
      </w:r>
      <w:r w:rsidRPr="00284EC3">
        <w:rPr>
          <w:rFonts w:asciiTheme="minorHAnsi" w:hAnsiTheme="minorHAnsi" w:cstheme="minorHAnsi"/>
          <w:bCs/>
          <w:sz w:val="18"/>
          <w:szCs w:val="18"/>
          <w:lang w:val="en-GB"/>
        </w:rPr>
        <w:t xml:space="preserve">Rural Development-2019/ </w:t>
      </w:r>
      <w:proofErr w:type="spellStart"/>
      <w:r w:rsidRPr="00284EC3">
        <w:rPr>
          <w:rFonts w:asciiTheme="minorHAnsi" w:hAnsiTheme="minorHAnsi" w:cstheme="minorHAnsi"/>
          <w:bCs/>
          <w:sz w:val="18"/>
          <w:szCs w:val="18"/>
          <w:lang w:val="en-GB"/>
        </w:rPr>
        <w:t>Vytautas</w:t>
      </w:r>
      <w:proofErr w:type="spellEnd"/>
      <w:r w:rsidRPr="00284EC3">
        <w:rPr>
          <w:rFonts w:asciiTheme="minorHAnsi" w:hAnsiTheme="minorHAnsi" w:cstheme="minorHAnsi"/>
          <w:bCs/>
          <w:sz w:val="18"/>
          <w:szCs w:val="18"/>
          <w:lang w:val="en-GB"/>
        </w:rPr>
        <w:t xml:space="preserve"> magnus University. 2019.</w:t>
      </w:r>
    </w:p>
    <w:p w:rsidR="00284EC3" w:rsidRPr="00284EC3" w:rsidRDefault="00284EC3" w:rsidP="005713D3">
      <w:pPr>
        <w:ind w:left="426"/>
        <w:jc w:val="both"/>
        <w:rPr>
          <w:rFonts w:asciiTheme="minorHAnsi" w:hAnsiTheme="minorHAnsi" w:cstheme="minorHAnsi"/>
          <w:sz w:val="18"/>
          <w:szCs w:val="18"/>
        </w:rPr>
      </w:pPr>
      <w:r w:rsidRPr="00284EC3">
        <w:rPr>
          <w:rFonts w:asciiTheme="minorHAnsi" w:hAnsiTheme="minorHAnsi" w:cstheme="minorHAnsi"/>
          <w:color w:val="000000"/>
          <w:sz w:val="18"/>
          <w:szCs w:val="18"/>
        </w:rPr>
        <w:t>http://doi.org/10.15544/RD.2019.018</w:t>
      </w:r>
      <w:r w:rsidRPr="00284EC3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. </w:t>
      </w:r>
    </w:p>
    <w:p w:rsidR="00284EC3" w:rsidRPr="00284EC3" w:rsidRDefault="00284EC3" w:rsidP="005713D3">
      <w:pPr>
        <w:widowControl/>
        <w:numPr>
          <w:ilvl w:val="0"/>
          <w:numId w:val="4"/>
        </w:numPr>
        <w:tabs>
          <w:tab w:val="left" w:pos="-6186"/>
          <w:tab w:val="left" w:pos="-6044"/>
          <w:tab w:val="left" w:pos="294"/>
          <w:tab w:val="left" w:pos="436"/>
        </w:tabs>
        <w:autoSpaceDN w:val="0"/>
        <w:ind w:left="426" w:right="-49"/>
        <w:jc w:val="both"/>
        <w:rPr>
          <w:rFonts w:asciiTheme="minorHAnsi" w:hAnsiTheme="minorHAnsi" w:cstheme="minorHAnsi"/>
          <w:sz w:val="18"/>
          <w:szCs w:val="18"/>
        </w:rPr>
      </w:pPr>
      <w:r w:rsidRPr="00284EC3">
        <w:rPr>
          <w:rFonts w:asciiTheme="minorHAnsi" w:hAnsiTheme="minorHAnsi" w:cstheme="minorHAnsi"/>
          <w:b/>
          <w:sz w:val="18"/>
          <w:szCs w:val="18"/>
          <w:lang w:val="en-GB"/>
        </w:rPr>
        <w:t>Žibienė, G.,</w:t>
      </w:r>
      <w:r w:rsidRPr="00284EC3">
        <w:rPr>
          <w:rFonts w:asciiTheme="minorHAnsi" w:hAnsiTheme="minorHAnsi" w:cstheme="minorHAnsi"/>
          <w:sz w:val="18"/>
          <w:szCs w:val="18"/>
          <w:lang w:val="en-GB"/>
        </w:rPr>
        <w:t xml:space="preserve"> Žibas, A., </w:t>
      </w:r>
      <w:proofErr w:type="spellStart"/>
      <w:r w:rsidRPr="00284EC3">
        <w:rPr>
          <w:rFonts w:asciiTheme="minorHAnsi" w:hAnsiTheme="minorHAnsi" w:cstheme="minorHAnsi"/>
          <w:sz w:val="18"/>
          <w:szCs w:val="18"/>
          <w:lang w:val="en-GB"/>
        </w:rPr>
        <w:t>Švirinienė</w:t>
      </w:r>
      <w:proofErr w:type="spellEnd"/>
      <w:r w:rsidRPr="00284EC3">
        <w:rPr>
          <w:rFonts w:asciiTheme="minorHAnsi" w:hAnsiTheme="minorHAnsi" w:cstheme="minorHAnsi"/>
          <w:sz w:val="18"/>
          <w:szCs w:val="18"/>
          <w:lang w:val="en-GB"/>
        </w:rPr>
        <w:t xml:space="preserve"> L. </w:t>
      </w:r>
      <w:r w:rsidR="00BF05EC" w:rsidRPr="00284EC3">
        <w:rPr>
          <w:rFonts w:asciiTheme="minorHAnsi" w:hAnsiTheme="minorHAnsi" w:cstheme="minorHAnsi"/>
          <w:bCs/>
          <w:sz w:val="18"/>
          <w:szCs w:val="18"/>
          <w:lang w:val="en-GB"/>
        </w:rPr>
        <w:t xml:space="preserve">The Effects </w:t>
      </w:r>
      <w:r w:rsidR="00BF05EC">
        <w:rPr>
          <w:rFonts w:asciiTheme="minorHAnsi" w:hAnsiTheme="minorHAnsi" w:cstheme="minorHAnsi"/>
          <w:bCs/>
          <w:sz w:val="18"/>
          <w:szCs w:val="18"/>
          <w:lang w:val="en-GB"/>
        </w:rPr>
        <w:t>o</w:t>
      </w:r>
      <w:r w:rsidR="00BF05EC" w:rsidRPr="00284EC3">
        <w:rPr>
          <w:rFonts w:asciiTheme="minorHAnsi" w:hAnsiTheme="minorHAnsi" w:cstheme="minorHAnsi"/>
          <w:bCs/>
          <w:sz w:val="18"/>
          <w:szCs w:val="18"/>
          <w:lang w:val="en-GB"/>
        </w:rPr>
        <w:t xml:space="preserve">f Tannic Acid </w:t>
      </w:r>
      <w:r w:rsidR="00BF05EC">
        <w:rPr>
          <w:rFonts w:asciiTheme="minorHAnsi" w:hAnsiTheme="minorHAnsi" w:cstheme="minorHAnsi"/>
          <w:bCs/>
          <w:sz w:val="18"/>
          <w:szCs w:val="18"/>
          <w:lang w:val="en-GB"/>
        </w:rPr>
        <w:t>o</w:t>
      </w:r>
      <w:r w:rsidR="00BF05EC" w:rsidRPr="00284EC3">
        <w:rPr>
          <w:rFonts w:asciiTheme="minorHAnsi" w:hAnsiTheme="minorHAnsi" w:cstheme="minorHAnsi"/>
          <w:bCs/>
          <w:sz w:val="18"/>
          <w:szCs w:val="18"/>
          <w:lang w:val="en-GB"/>
        </w:rPr>
        <w:t xml:space="preserve">n </w:t>
      </w:r>
      <w:r w:rsidR="00BF05EC">
        <w:rPr>
          <w:rFonts w:asciiTheme="minorHAnsi" w:hAnsiTheme="minorHAnsi" w:cstheme="minorHAnsi"/>
          <w:bCs/>
          <w:sz w:val="18"/>
          <w:szCs w:val="18"/>
          <w:lang w:val="en-GB"/>
        </w:rPr>
        <w:t>t</w:t>
      </w:r>
      <w:r w:rsidR="00BF05EC" w:rsidRPr="00284EC3">
        <w:rPr>
          <w:rFonts w:asciiTheme="minorHAnsi" w:hAnsiTheme="minorHAnsi" w:cstheme="minorHAnsi"/>
          <w:bCs/>
          <w:sz w:val="18"/>
          <w:szCs w:val="18"/>
          <w:lang w:val="en-GB"/>
        </w:rPr>
        <w:t xml:space="preserve">he Effectiveness </w:t>
      </w:r>
      <w:r w:rsidR="00BF05EC">
        <w:rPr>
          <w:rFonts w:asciiTheme="minorHAnsi" w:hAnsiTheme="minorHAnsi" w:cstheme="minorHAnsi"/>
          <w:bCs/>
          <w:sz w:val="18"/>
          <w:szCs w:val="18"/>
          <w:lang w:val="en-GB"/>
        </w:rPr>
        <w:t>o</w:t>
      </w:r>
      <w:r w:rsidR="00BF05EC" w:rsidRPr="00284EC3">
        <w:rPr>
          <w:rFonts w:asciiTheme="minorHAnsi" w:hAnsiTheme="minorHAnsi" w:cstheme="minorHAnsi"/>
          <w:bCs/>
          <w:sz w:val="18"/>
          <w:szCs w:val="18"/>
          <w:lang w:val="en-GB"/>
        </w:rPr>
        <w:t xml:space="preserve">f Egg Fertilization </w:t>
      </w:r>
      <w:r w:rsidR="00BF05EC">
        <w:rPr>
          <w:rFonts w:asciiTheme="minorHAnsi" w:hAnsiTheme="minorHAnsi" w:cstheme="minorHAnsi"/>
          <w:bCs/>
          <w:sz w:val="18"/>
          <w:szCs w:val="18"/>
          <w:lang w:val="en-GB"/>
        </w:rPr>
        <w:t>a</w:t>
      </w:r>
      <w:r w:rsidR="00BF05EC" w:rsidRPr="00284EC3">
        <w:rPr>
          <w:rFonts w:asciiTheme="minorHAnsi" w:hAnsiTheme="minorHAnsi" w:cstheme="minorHAnsi"/>
          <w:bCs/>
          <w:sz w:val="18"/>
          <w:szCs w:val="18"/>
          <w:lang w:val="en-GB"/>
        </w:rPr>
        <w:t>nd Removing Carp Eggs Adhesiveness</w:t>
      </w:r>
      <w:r w:rsidRPr="00284EC3">
        <w:rPr>
          <w:rFonts w:asciiTheme="minorHAnsi" w:hAnsiTheme="minorHAnsi" w:cstheme="minorHAnsi"/>
          <w:bCs/>
          <w:sz w:val="18"/>
          <w:szCs w:val="18"/>
          <w:lang w:val="en-GB"/>
        </w:rPr>
        <w:t>//Rural Development-2017/A</w:t>
      </w:r>
      <w:r w:rsidR="00BF05EC">
        <w:rPr>
          <w:rFonts w:asciiTheme="minorHAnsi" w:hAnsiTheme="minorHAnsi" w:cstheme="minorHAnsi"/>
          <w:bCs/>
          <w:sz w:val="18"/>
          <w:szCs w:val="18"/>
          <w:lang w:val="en-GB"/>
        </w:rPr>
        <w:t>SU</w:t>
      </w:r>
      <w:r w:rsidRPr="00284EC3">
        <w:rPr>
          <w:rFonts w:asciiTheme="minorHAnsi" w:hAnsiTheme="minorHAnsi" w:cstheme="minorHAnsi"/>
          <w:bCs/>
          <w:sz w:val="18"/>
          <w:szCs w:val="18"/>
          <w:lang w:val="en-GB"/>
        </w:rPr>
        <w:t xml:space="preserve">. 2017. </w:t>
      </w:r>
      <w:r w:rsidRPr="00284EC3">
        <w:rPr>
          <w:rFonts w:asciiTheme="minorHAnsi" w:hAnsiTheme="minorHAnsi" w:cstheme="minorHAnsi"/>
          <w:sz w:val="18"/>
          <w:szCs w:val="18"/>
          <w:lang w:val="en-GB"/>
        </w:rPr>
        <w:t>http://doi.org/10.15544/RD.2017.016</w:t>
      </w:r>
    </w:p>
    <w:p w:rsidR="00284EC3" w:rsidRPr="00284EC3" w:rsidRDefault="00284EC3" w:rsidP="005713D3">
      <w:pPr>
        <w:pStyle w:val="ListParagraph"/>
        <w:widowControl/>
        <w:numPr>
          <w:ilvl w:val="0"/>
          <w:numId w:val="4"/>
        </w:numPr>
        <w:autoSpaceDN w:val="0"/>
        <w:spacing w:before="0" w:line="240" w:lineRule="auto"/>
        <w:ind w:left="426" w:right="-49"/>
        <w:rPr>
          <w:rFonts w:asciiTheme="minorHAnsi" w:hAnsiTheme="minorHAnsi" w:cstheme="minorHAnsi"/>
          <w:sz w:val="18"/>
          <w:szCs w:val="18"/>
        </w:rPr>
      </w:pPr>
      <w:r w:rsidRPr="00284EC3">
        <w:rPr>
          <w:rFonts w:asciiTheme="minorHAnsi" w:hAnsiTheme="minorHAnsi" w:cstheme="minorHAnsi"/>
          <w:b/>
          <w:sz w:val="18"/>
          <w:szCs w:val="18"/>
          <w:lang w:val="en-GB"/>
        </w:rPr>
        <w:t>Žibienė, G.,</w:t>
      </w:r>
      <w:r w:rsidRPr="00284EC3">
        <w:rPr>
          <w:rFonts w:asciiTheme="minorHAnsi" w:hAnsiTheme="minorHAnsi" w:cstheme="minorHAnsi"/>
          <w:sz w:val="18"/>
          <w:szCs w:val="18"/>
          <w:lang w:val="en-GB"/>
        </w:rPr>
        <w:t xml:space="preserve"> Žibas, A. </w:t>
      </w:r>
      <w:r w:rsidR="00BF05EC" w:rsidRPr="00284EC3">
        <w:rPr>
          <w:rFonts w:asciiTheme="minorHAnsi" w:hAnsiTheme="minorHAnsi" w:cstheme="minorHAnsi"/>
          <w:bCs/>
          <w:sz w:val="18"/>
          <w:szCs w:val="18"/>
          <w:lang w:val="en-GB"/>
        </w:rPr>
        <w:t xml:space="preserve">Water Quality </w:t>
      </w:r>
      <w:r w:rsidR="00BF05EC">
        <w:rPr>
          <w:rFonts w:asciiTheme="minorHAnsi" w:hAnsiTheme="minorHAnsi" w:cstheme="minorHAnsi"/>
          <w:bCs/>
          <w:sz w:val="18"/>
          <w:szCs w:val="18"/>
          <w:lang w:val="en-GB"/>
        </w:rPr>
        <w:t>a</w:t>
      </w:r>
      <w:r w:rsidR="00BF05EC" w:rsidRPr="00284EC3">
        <w:rPr>
          <w:rFonts w:asciiTheme="minorHAnsi" w:hAnsiTheme="minorHAnsi" w:cstheme="minorHAnsi"/>
          <w:bCs/>
          <w:sz w:val="18"/>
          <w:szCs w:val="18"/>
          <w:lang w:val="en-GB"/>
        </w:rPr>
        <w:t xml:space="preserve">nd Waste Contamination Study </w:t>
      </w:r>
      <w:r w:rsidR="00BF05EC">
        <w:rPr>
          <w:rFonts w:asciiTheme="minorHAnsi" w:hAnsiTheme="minorHAnsi" w:cstheme="minorHAnsi"/>
          <w:bCs/>
          <w:sz w:val="18"/>
          <w:szCs w:val="18"/>
          <w:lang w:val="en-GB"/>
        </w:rPr>
        <w:t>i</w:t>
      </w:r>
      <w:r w:rsidR="00BF05EC" w:rsidRPr="00284EC3">
        <w:rPr>
          <w:rFonts w:asciiTheme="minorHAnsi" w:hAnsiTheme="minorHAnsi" w:cstheme="minorHAnsi"/>
          <w:bCs/>
          <w:sz w:val="18"/>
          <w:szCs w:val="18"/>
          <w:lang w:val="en-GB"/>
        </w:rPr>
        <w:t>n Catfish Rearing Recirculating Aquaculture Sy</w:t>
      </w:r>
      <w:r w:rsidR="00BF05EC" w:rsidRPr="00284EC3">
        <w:rPr>
          <w:rFonts w:asciiTheme="minorHAnsi" w:hAnsiTheme="minorHAnsi" w:cstheme="minorHAnsi"/>
          <w:bCs/>
          <w:sz w:val="18"/>
          <w:szCs w:val="18"/>
          <w:lang w:val="en-GB"/>
        </w:rPr>
        <w:t>s</w:t>
      </w:r>
      <w:r w:rsidR="00BF05EC" w:rsidRPr="00284EC3">
        <w:rPr>
          <w:rFonts w:asciiTheme="minorHAnsi" w:hAnsiTheme="minorHAnsi" w:cstheme="minorHAnsi"/>
          <w:bCs/>
          <w:sz w:val="18"/>
          <w:szCs w:val="18"/>
          <w:lang w:val="en-GB"/>
        </w:rPr>
        <w:t>tem</w:t>
      </w:r>
      <w:r w:rsidRPr="00284EC3">
        <w:rPr>
          <w:rFonts w:asciiTheme="minorHAnsi" w:hAnsiTheme="minorHAnsi" w:cstheme="minorHAnsi"/>
          <w:bCs/>
          <w:sz w:val="18"/>
          <w:szCs w:val="18"/>
          <w:lang w:val="en-GB"/>
        </w:rPr>
        <w:t xml:space="preserve">. // Rural Development-2017/ Aleksandras </w:t>
      </w:r>
      <w:proofErr w:type="spellStart"/>
      <w:r w:rsidRPr="00284EC3">
        <w:rPr>
          <w:rFonts w:asciiTheme="minorHAnsi" w:hAnsiTheme="minorHAnsi" w:cstheme="minorHAnsi"/>
          <w:bCs/>
          <w:sz w:val="18"/>
          <w:szCs w:val="18"/>
          <w:lang w:val="en-GB"/>
        </w:rPr>
        <w:t>Stulginskis</w:t>
      </w:r>
      <w:proofErr w:type="spellEnd"/>
      <w:r w:rsidRPr="00284EC3">
        <w:rPr>
          <w:rFonts w:asciiTheme="minorHAnsi" w:hAnsiTheme="minorHAnsi" w:cstheme="minorHAnsi"/>
          <w:bCs/>
          <w:sz w:val="18"/>
          <w:szCs w:val="18"/>
          <w:lang w:val="en-GB"/>
        </w:rPr>
        <w:t xml:space="preserve"> university. 2017.</w:t>
      </w:r>
      <w:r w:rsidRPr="00284EC3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Pr="00284EC3">
        <w:rPr>
          <w:rFonts w:asciiTheme="minorHAnsi" w:eastAsia="Times New Roman" w:hAnsiTheme="minorHAnsi" w:cstheme="minorHAnsi"/>
          <w:sz w:val="18"/>
          <w:szCs w:val="18"/>
          <w:lang w:val="en-GB" w:eastAsia="lt-LT"/>
        </w:rPr>
        <w:t xml:space="preserve">DOI: 10.15544/RD.2017.015  </w:t>
      </w:r>
    </w:p>
    <w:p w:rsidR="00AE3E37" w:rsidRPr="00BF05EC" w:rsidRDefault="00284EC3" w:rsidP="005713D3">
      <w:pPr>
        <w:pStyle w:val="Default"/>
        <w:numPr>
          <w:ilvl w:val="0"/>
          <w:numId w:val="4"/>
        </w:numPr>
        <w:tabs>
          <w:tab w:val="left" w:pos="294"/>
          <w:tab w:val="left" w:pos="384"/>
          <w:tab w:val="left" w:pos="436"/>
        </w:tabs>
        <w:ind w:left="426" w:right="117"/>
        <w:jc w:val="both"/>
        <w:rPr>
          <w:rFonts w:asciiTheme="minorHAnsi" w:hAnsiTheme="minorHAnsi" w:cstheme="minorHAnsi"/>
          <w:sz w:val="18"/>
          <w:szCs w:val="18"/>
        </w:rPr>
      </w:pPr>
      <w:r w:rsidRPr="00284EC3">
        <w:rPr>
          <w:rFonts w:asciiTheme="minorHAnsi" w:hAnsiTheme="minorHAnsi" w:cstheme="minorHAnsi"/>
          <w:b/>
          <w:color w:val="auto"/>
          <w:sz w:val="18"/>
          <w:szCs w:val="18"/>
          <w:lang w:val="en-GB"/>
        </w:rPr>
        <w:t>Zibiene G.</w:t>
      </w:r>
      <w:r w:rsidRPr="00284EC3">
        <w:rPr>
          <w:rFonts w:asciiTheme="minorHAnsi" w:hAnsiTheme="minorHAnsi" w:cstheme="minorHAnsi"/>
          <w:color w:val="auto"/>
          <w:sz w:val="18"/>
          <w:szCs w:val="18"/>
          <w:lang w:val="en-GB"/>
        </w:rPr>
        <w:t xml:space="preserve">, </w:t>
      </w:r>
      <w:proofErr w:type="spellStart"/>
      <w:r w:rsidRPr="00284EC3">
        <w:rPr>
          <w:rFonts w:asciiTheme="minorHAnsi" w:hAnsiTheme="minorHAnsi" w:cstheme="minorHAnsi"/>
          <w:color w:val="auto"/>
          <w:sz w:val="18"/>
          <w:szCs w:val="18"/>
          <w:lang w:val="en-GB"/>
        </w:rPr>
        <w:t>Mongirdas</w:t>
      </w:r>
      <w:proofErr w:type="spellEnd"/>
      <w:r w:rsidRPr="00284EC3">
        <w:rPr>
          <w:rFonts w:asciiTheme="minorHAnsi" w:hAnsiTheme="minorHAnsi" w:cstheme="minorHAnsi"/>
          <w:color w:val="auto"/>
          <w:sz w:val="18"/>
          <w:szCs w:val="18"/>
          <w:lang w:val="en-GB"/>
        </w:rPr>
        <w:t xml:space="preserve"> V., </w:t>
      </w:r>
      <w:proofErr w:type="spellStart"/>
      <w:r w:rsidRPr="00284EC3">
        <w:rPr>
          <w:rFonts w:asciiTheme="minorHAnsi" w:hAnsiTheme="minorHAnsi" w:cstheme="minorHAnsi"/>
          <w:color w:val="auto"/>
          <w:sz w:val="18"/>
          <w:szCs w:val="18"/>
          <w:lang w:val="en-GB"/>
        </w:rPr>
        <w:t>Zibas</w:t>
      </w:r>
      <w:proofErr w:type="spellEnd"/>
      <w:r w:rsidRPr="00284EC3">
        <w:rPr>
          <w:rFonts w:asciiTheme="minorHAnsi" w:hAnsiTheme="minorHAnsi" w:cstheme="minorHAnsi"/>
          <w:color w:val="auto"/>
          <w:sz w:val="18"/>
          <w:szCs w:val="18"/>
          <w:lang w:val="en-GB"/>
        </w:rPr>
        <w:t xml:space="preserve"> A. (2017). </w:t>
      </w:r>
      <w:r w:rsidR="00BF05EC" w:rsidRPr="00284EC3">
        <w:rPr>
          <w:rFonts w:asciiTheme="minorHAnsi" w:hAnsiTheme="minorHAnsi" w:cstheme="minorHAnsi"/>
          <w:bCs/>
          <w:color w:val="auto"/>
          <w:sz w:val="18"/>
          <w:szCs w:val="18"/>
          <w:lang w:val="en-GB"/>
        </w:rPr>
        <w:t xml:space="preserve">Waste </w:t>
      </w:r>
      <w:r w:rsidR="00BF05EC">
        <w:rPr>
          <w:rFonts w:asciiTheme="minorHAnsi" w:hAnsiTheme="minorHAnsi" w:cstheme="minorHAnsi"/>
          <w:bCs/>
          <w:color w:val="auto"/>
          <w:sz w:val="18"/>
          <w:szCs w:val="18"/>
          <w:lang w:val="en-GB"/>
        </w:rPr>
        <w:t>a</w:t>
      </w:r>
      <w:r w:rsidR="00BF05EC" w:rsidRPr="00284EC3">
        <w:rPr>
          <w:rFonts w:asciiTheme="minorHAnsi" w:hAnsiTheme="minorHAnsi" w:cstheme="minorHAnsi"/>
          <w:bCs/>
          <w:color w:val="auto"/>
          <w:sz w:val="18"/>
          <w:szCs w:val="18"/>
          <w:lang w:val="en-GB"/>
        </w:rPr>
        <w:t xml:space="preserve">nd </w:t>
      </w:r>
      <w:r w:rsidR="00BF05EC">
        <w:rPr>
          <w:rFonts w:asciiTheme="minorHAnsi" w:hAnsiTheme="minorHAnsi" w:cstheme="minorHAnsi"/>
          <w:bCs/>
          <w:color w:val="auto"/>
          <w:sz w:val="18"/>
          <w:szCs w:val="18"/>
          <w:lang w:val="en-GB"/>
        </w:rPr>
        <w:t>i</w:t>
      </w:r>
      <w:r w:rsidR="00BF05EC" w:rsidRPr="00284EC3">
        <w:rPr>
          <w:rFonts w:asciiTheme="minorHAnsi" w:hAnsiTheme="minorHAnsi" w:cstheme="minorHAnsi"/>
          <w:bCs/>
          <w:color w:val="auto"/>
          <w:sz w:val="18"/>
          <w:szCs w:val="18"/>
          <w:lang w:val="en-GB"/>
        </w:rPr>
        <w:t>ts Chara</w:t>
      </w:r>
      <w:r w:rsidR="00BF05EC" w:rsidRPr="00284EC3">
        <w:rPr>
          <w:rFonts w:asciiTheme="minorHAnsi" w:hAnsiTheme="minorHAnsi" w:cstheme="minorHAnsi"/>
          <w:bCs/>
          <w:color w:val="auto"/>
          <w:sz w:val="18"/>
          <w:szCs w:val="18"/>
          <w:lang w:val="en-GB"/>
        </w:rPr>
        <w:t>c</w:t>
      </w:r>
      <w:r w:rsidR="00BF05EC" w:rsidRPr="00284EC3">
        <w:rPr>
          <w:rFonts w:asciiTheme="minorHAnsi" w:hAnsiTheme="minorHAnsi" w:cstheme="minorHAnsi"/>
          <w:bCs/>
          <w:color w:val="auto"/>
          <w:sz w:val="18"/>
          <w:szCs w:val="18"/>
          <w:lang w:val="en-GB"/>
        </w:rPr>
        <w:t xml:space="preserve">terization </w:t>
      </w:r>
      <w:r w:rsidR="00BF05EC">
        <w:rPr>
          <w:rFonts w:asciiTheme="minorHAnsi" w:hAnsiTheme="minorHAnsi" w:cstheme="minorHAnsi"/>
          <w:bCs/>
          <w:color w:val="auto"/>
          <w:sz w:val="18"/>
          <w:szCs w:val="18"/>
          <w:lang w:val="en-GB"/>
        </w:rPr>
        <w:t>i</w:t>
      </w:r>
      <w:r w:rsidR="00BF05EC" w:rsidRPr="00284EC3">
        <w:rPr>
          <w:rFonts w:asciiTheme="minorHAnsi" w:hAnsiTheme="minorHAnsi" w:cstheme="minorHAnsi"/>
          <w:bCs/>
          <w:color w:val="auto"/>
          <w:sz w:val="18"/>
          <w:szCs w:val="18"/>
          <w:lang w:val="en-GB"/>
        </w:rPr>
        <w:t>n Closed Recirculating Aquaculture Systems – A Review</w:t>
      </w:r>
      <w:r w:rsidRPr="00284EC3">
        <w:rPr>
          <w:rFonts w:asciiTheme="minorHAnsi" w:hAnsiTheme="minorHAnsi" w:cstheme="minorHAnsi"/>
          <w:bCs/>
          <w:color w:val="auto"/>
          <w:sz w:val="18"/>
          <w:szCs w:val="18"/>
          <w:lang w:val="en-GB"/>
        </w:rPr>
        <w:t xml:space="preserve">. </w:t>
      </w:r>
      <w:proofErr w:type="spellStart"/>
      <w:r w:rsidRPr="00BF05EC">
        <w:rPr>
          <w:rFonts w:asciiTheme="minorHAnsi" w:hAnsiTheme="minorHAnsi" w:cstheme="minorHAnsi"/>
          <w:iCs/>
          <w:color w:val="auto"/>
          <w:sz w:val="18"/>
          <w:szCs w:val="18"/>
          <w:lang w:val="en-GB"/>
        </w:rPr>
        <w:t>eISSN</w:t>
      </w:r>
      <w:proofErr w:type="spellEnd"/>
      <w:r w:rsidRPr="00BF05EC">
        <w:rPr>
          <w:rFonts w:asciiTheme="minorHAnsi" w:hAnsiTheme="minorHAnsi" w:cstheme="minorHAnsi"/>
          <w:iCs/>
          <w:color w:val="auto"/>
          <w:sz w:val="18"/>
          <w:szCs w:val="18"/>
          <w:lang w:val="en-GB"/>
        </w:rPr>
        <w:t xml:space="preserve"> 2345-0363 Journal of Water Security, 2017, Vol. 3 Article Number: jws2017002 DOI: </w:t>
      </w:r>
      <w:hyperlink r:id="rId11" w:history="1">
        <w:r w:rsidRPr="00BF05EC">
          <w:rPr>
            <w:rStyle w:val="Hyperlink"/>
            <w:rFonts w:asciiTheme="minorHAnsi" w:hAnsiTheme="minorHAnsi" w:cstheme="minorHAnsi"/>
            <w:iCs/>
            <w:color w:val="auto"/>
            <w:sz w:val="18"/>
            <w:szCs w:val="18"/>
            <w:lang w:val="en-GB"/>
          </w:rPr>
          <w:t>http://dx.doi.org/10.15544/jws.2017.002</w:t>
        </w:r>
      </w:hyperlink>
      <w:r w:rsidRPr="00BF05EC">
        <w:rPr>
          <w:rStyle w:val="Hyperlink"/>
          <w:rFonts w:asciiTheme="minorHAnsi" w:hAnsiTheme="minorHAnsi" w:cstheme="minorHAnsi"/>
          <w:iCs/>
          <w:color w:val="auto"/>
          <w:sz w:val="18"/>
          <w:szCs w:val="18"/>
          <w:lang w:val="en-GB"/>
        </w:rPr>
        <w:t xml:space="preserve">  </w:t>
      </w:r>
      <w:r w:rsidRPr="00BF05EC">
        <w:rPr>
          <w:rFonts w:asciiTheme="minorHAnsi" w:hAnsiTheme="minorHAnsi" w:cstheme="minorHAnsi"/>
          <w:iCs/>
          <w:color w:val="auto"/>
          <w:sz w:val="18"/>
          <w:szCs w:val="18"/>
          <w:lang w:val="en-GB"/>
        </w:rPr>
        <w:t xml:space="preserve">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CC703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A475C7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 </w:t>
      </w:r>
      <w:r w:rsidR="008756E6">
        <w:rPr>
          <w:noProof/>
        </w:rPr>
        <w:t xml:space="preserve"> </w:t>
      </w:r>
      <w:bookmarkStart w:id="0" w:name="_GoBack"/>
      <w:r w:rsidR="00607DBE">
        <w:rPr>
          <w:noProof/>
          <w:lang w:eastAsia="lt-LT"/>
        </w:rPr>
        <w:drawing>
          <wp:inline distT="0" distB="0" distL="0" distR="0" wp14:anchorId="122DC8C2" wp14:editId="017B6F9B">
            <wp:extent cx="647700" cy="600075"/>
            <wp:effectExtent l="19050" t="19050" r="19050" b="28575"/>
            <wp:docPr id="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998" cy="600351"/>
                    </a:xfrm>
                    <a:prstGeom prst="rect">
                      <a:avLst/>
                    </a:prstGeom>
                    <a:noFill/>
                    <a:ln w="9528">
                      <a:solidFill>
                        <a:schemeClr val="tx2">
                          <a:lumMod val="5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bookmarkEnd w:id="0"/>
      <w:r w:rsidRPr="00A475C7">
        <w:t xml:space="preserve"> </w:t>
      </w:r>
      <w:r>
        <w:rPr>
          <w:noProof/>
        </w:rPr>
        <w:drawing>
          <wp:inline distT="0" distB="0" distL="0" distR="0">
            <wp:extent cx="895350" cy="608965"/>
            <wp:effectExtent l="19050" t="19050" r="19050" b="196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517" cy="61315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607DBE" w:rsidRPr="00A475C7" w:rsidRDefault="00607DBE" w:rsidP="004B3ABD">
      <w:pPr>
        <w:ind w:right="-83"/>
        <w:jc w:val="both"/>
        <w:rPr>
          <w:rStyle w:val="tlid-translation"/>
          <w:rFonts w:ascii="Arial" w:hAnsi="Arial" w:cs="Arial"/>
          <w:sz w:val="14"/>
          <w:szCs w:val="14"/>
          <w:lang w:val="en-GB"/>
        </w:rPr>
      </w:pPr>
      <w:r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GRAZINA ZIBIENE (Gražina Žibienė) is </w:t>
      </w:r>
      <w:proofErr w:type="spellStart"/>
      <w:proofErr w:type="gramStart"/>
      <w:r w:rsidRPr="00A475C7">
        <w:rPr>
          <w:rStyle w:val="tlid-translation"/>
          <w:rFonts w:ascii="Arial" w:hAnsi="Arial" w:cs="Arial"/>
          <w:sz w:val="14"/>
          <w:szCs w:val="14"/>
          <w:lang w:val="en-GB"/>
        </w:rPr>
        <w:t>a</w:t>
      </w:r>
      <w:proofErr w:type="spellEnd"/>
      <w:proofErr w:type="gramEnd"/>
      <w:r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 associated professor at </w:t>
      </w:r>
      <w:proofErr w:type="spellStart"/>
      <w:r w:rsidRPr="00A475C7">
        <w:rPr>
          <w:rStyle w:val="tlid-translation"/>
          <w:rFonts w:ascii="Arial" w:hAnsi="Arial" w:cs="Arial"/>
          <w:sz w:val="14"/>
          <w:szCs w:val="14"/>
          <w:lang w:val="en-GB"/>
        </w:rPr>
        <w:t>Vytautas</w:t>
      </w:r>
      <w:proofErr w:type="spellEnd"/>
      <w:r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 Magnus University, Agriculture Academy. </w:t>
      </w:r>
      <w:r w:rsidR="00A475C7"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ALVYDAS ZIBAS (Alvydas Žibas) is a head of Aquaculture </w:t>
      </w:r>
      <w:proofErr w:type="spellStart"/>
      <w:r w:rsidR="00A475C7">
        <w:rPr>
          <w:rStyle w:val="tlid-translation"/>
          <w:rFonts w:ascii="Arial" w:hAnsi="Arial" w:cs="Arial"/>
          <w:sz w:val="14"/>
          <w:szCs w:val="14"/>
          <w:lang w:val="en-GB"/>
        </w:rPr>
        <w:t>center</w:t>
      </w:r>
      <w:proofErr w:type="spellEnd"/>
      <w:r w:rsidR="00A475C7"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 at </w:t>
      </w:r>
      <w:proofErr w:type="spellStart"/>
      <w:r w:rsidR="00A475C7" w:rsidRPr="00A475C7">
        <w:rPr>
          <w:rStyle w:val="tlid-translation"/>
          <w:rFonts w:ascii="Arial" w:hAnsi="Arial" w:cs="Arial"/>
          <w:sz w:val="14"/>
          <w:szCs w:val="14"/>
          <w:lang w:val="en-GB"/>
        </w:rPr>
        <w:t>Vytautas</w:t>
      </w:r>
      <w:proofErr w:type="spellEnd"/>
      <w:r w:rsidR="00A475C7"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 Magnus University</w:t>
      </w:r>
      <w:r w:rsidR="00A475C7"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 </w:t>
      </w:r>
      <w:r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For the </w:t>
      </w:r>
      <w:r w:rsidR="004B3ABD" w:rsidRPr="00A475C7">
        <w:rPr>
          <w:rStyle w:val="tlid-translation"/>
          <w:rFonts w:ascii="Arial" w:hAnsi="Arial" w:cs="Arial"/>
          <w:sz w:val="14"/>
          <w:szCs w:val="14"/>
          <w:lang w:val="en-GB"/>
        </w:rPr>
        <w:t>last</w:t>
      </w:r>
      <w:r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 5 years </w:t>
      </w:r>
      <w:r w:rsidR="00A475C7" w:rsidRPr="00A475C7">
        <w:rPr>
          <w:rStyle w:val="tlid-translation"/>
          <w:rFonts w:ascii="Arial" w:hAnsi="Arial" w:cs="Arial"/>
          <w:sz w:val="14"/>
          <w:szCs w:val="14"/>
          <w:lang w:val="en-GB"/>
        </w:rPr>
        <w:t>they</w:t>
      </w:r>
      <w:r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 ha</w:t>
      </w:r>
      <w:r w:rsidR="00A475C7" w:rsidRPr="00A475C7">
        <w:rPr>
          <w:rStyle w:val="tlid-translation"/>
          <w:rFonts w:ascii="Arial" w:hAnsi="Arial" w:cs="Arial"/>
          <w:sz w:val="14"/>
          <w:szCs w:val="14"/>
          <w:lang w:val="en-GB"/>
        </w:rPr>
        <w:t>ve</w:t>
      </w:r>
      <w:r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 been the project</w:t>
      </w:r>
      <w:r w:rsidR="00A475C7">
        <w:rPr>
          <w:rStyle w:val="tlid-translation"/>
          <w:rFonts w:ascii="Arial" w:hAnsi="Arial" w:cs="Arial"/>
          <w:sz w:val="14"/>
          <w:szCs w:val="14"/>
          <w:lang w:val="en-GB"/>
        </w:rPr>
        <w:t>’s</w:t>
      </w:r>
      <w:r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 manager</w:t>
      </w:r>
      <w:r w:rsidR="00A475C7">
        <w:rPr>
          <w:rStyle w:val="tlid-translation"/>
          <w:rFonts w:ascii="Arial" w:hAnsi="Arial" w:cs="Arial"/>
          <w:sz w:val="14"/>
          <w:szCs w:val="14"/>
          <w:lang w:val="en-GB"/>
        </w:rPr>
        <w:t>s</w:t>
      </w:r>
      <w:r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 on </w:t>
      </w:r>
      <w:r w:rsidR="00A475C7">
        <w:rPr>
          <w:rStyle w:val="tlid-translation"/>
          <w:rFonts w:ascii="Arial" w:hAnsi="Arial" w:cs="Arial"/>
          <w:sz w:val="14"/>
          <w:szCs w:val="14"/>
          <w:lang w:val="en-GB"/>
        </w:rPr>
        <w:t>several</w:t>
      </w:r>
      <w:r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 projects related to aquaculture and ha</w:t>
      </w:r>
      <w:r w:rsidR="00A475C7">
        <w:rPr>
          <w:rStyle w:val="tlid-translation"/>
          <w:rFonts w:ascii="Arial" w:hAnsi="Arial" w:cs="Arial"/>
          <w:sz w:val="14"/>
          <w:szCs w:val="14"/>
          <w:lang w:val="en-GB"/>
        </w:rPr>
        <w:t>ve</w:t>
      </w:r>
      <w:r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 been the member</w:t>
      </w:r>
      <w:r w:rsidR="00A475C7">
        <w:rPr>
          <w:rStyle w:val="tlid-translation"/>
          <w:rFonts w:ascii="Arial" w:hAnsi="Arial" w:cs="Arial"/>
          <w:sz w:val="14"/>
          <w:szCs w:val="14"/>
          <w:lang w:val="en-GB"/>
        </w:rPr>
        <w:t>s</w:t>
      </w:r>
      <w:r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 of research group</w:t>
      </w:r>
      <w:r w:rsidR="00A475C7">
        <w:rPr>
          <w:rStyle w:val="tlid-translation"/>
          <w:rFonts w:ascii="Arial" w:hAnsi="Arial" w:cs="Arial"/>
          <w:sz w:val="14"/>
          <w:szCs w:val="14"/>
          <w:lang w:val="en-GB"/>
        </w:rPr>
        <w:t>s</w:t>
      </w:r>
      <w:r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 for </w:t>
      </w:r>
      <w:r w:rsidR="00A475C7">
        <w:rPr>
          <w:rStyle w:val="tlid-translation"/>
          <w:rFonts w:ascii="Arial" w:hAnsi="Arial" w:cs="Arial"/>
          <w:sz w:val="14"/>
          <w:szCs w:val="14"/>
          <w:lang w:val="en-GB"/>
        </w:rPr>
        <w:t>5</w:t>
      </w:r>
      <w:r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 projects.</w:t>
      </w:r>
      <w:r w:rsidRPr="00A475C7">
        <w:rPr>
          <w:rFonts w:ascii="Arial" w:hAnsi="Arial" w:cs="Arial"/>
          <w:b/>
          <w:sz w:val="14"/>
          <w:szCs w:val="14"/>
          <w:lang w:val="en-GB"/>
        </w:rPr>
        <w:t xml:space="preserve"> </w:t>
      </w:r>
      <w:r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Grazina Zibiene </w:t>
      </w:r>
      <w:r w:rsidR="00A475C7" w:rsidRPr="00A475C7">
        <w:rPr>
          <w:rStyle w:val="tlid-translation"/>
          <w:rFonts w:ascii="Arial" w:hAnsi="Arial" w:cs="Arial"/>
          <w:sz w:val="14"/>
          <w:szCs w:val="14"/>
          <w:lang w:val="en-GB"/>
        </w:rPr>
        <w:t xml:space="preserve">and Alvydas Žibas </w:t>
      </w:r>
      <w:r w:rsidRPr="00A475C7">
        <w:rPr>
          <w:rStyle w:val="tlid-translation"/>
          <w:rFonts w:ascii="Arial" w:hAnsi="Arial" w:cs="Arial"/>
          <w:sz w:val="14"/>
          <w:szCs w:val="14"/>
          <w:lang w:val="en-GB"/>
        </w:rPr>
        <w:t>conducts research on fish breeding, water quality management in recirculating aquaculture systems and the use of probiotics in aquaculture.</w:t>
      </w:r>
    </w:p>
    <w:p w:rsidR="00AE3E37" w:rsidRPr="00607DBE" w:rsidRDefault="00A9710C">
      <w:pPr>
        <w:spacing w:before="62"/>
        <w:ind w:left="4217" w:right="4235"/>
        <w:jc w:val="center"/>
        <w:rPr>
          <w:rFonts w:ascii="Arial"/>
          <w:sz w:val="14"/>
          <w:lang w:val="en-GB"/>
        </w:rPr>
      </w:pPr>
      <w:r>
        <w:rPr>
          <w:rFonts w:ascii="Arial"/>
          <w:sz w:val="14"/>
        </w:rPr>
        <w:t xml:space="preserve">Email: </w:t>
      </w:r>
      <w:hyperlink r:id="rId14" w:history="1">
        <w:r w:rsidR="00607DBE" w:rsidRPr="00672C51">
          <w:rPr>
            <w:rStyle w:val="Hyperlink"/>
            <w:rFonts w:ascii="Arial"/>
            <w:sz w:val="14"/>
          </w:rPr>
          <w:t>grazina.zibiene@cdu.lt</w:t>
        </w:r>
      </w:hyperlink>
      <w:r w:rsidR="00607DBE">
        <w:rPr>
          <w:rFonts w:ascii="Arial"/>
          <w:sz w:val="14"/>
        </w:rPr>
        <w:t xml:space="preserve">, </w:t>
      </w:r>
      <w:hyperlink r:id="rId15" w:history="1">
        <w:r w:rsidR="00607DBE" w:rsidRPr="00672C51">
          <w:rPr>
            <w:rStyle w:val="Hyperlink"/>
            <w:rFonts w:ascii="Arial"/>
            <w:sz w:val="14"/>
          </w:rPr>
          <w:t>alvyadas.zibas@vdu.lt</w:t>
        </w:r>
      </w:hyperlink>
      <w:r w:rsidR="00607DBE">
        <w:rPr>
          <w:rFonts w:ascii="Arial"/>
          <w:sz w:val="14"/>
        </w:rPr>
        <w:t xml:space="preserve">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78681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sectPr w:rsidR="00AE3E37" w:rsidSect="00B27ADF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1175" w:rsidRDefault="00161175">
      <w:r>
        <w:separator/>
      </w:r>
    </w:p>
  </w:endnote>
  <w:endnote w:type="continuationSeparator" w:id="0">
    <w:p w:rsidR="00161175" w:rsidRDefault="00161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BA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1175" w:rsidRDefault="00161175">
      <w:r>
        <w:separator/>
      </w:r>
    </w:p>
  </w:footnote>
  <w:footnote w:type="continuationSeparator" w:id="0">
    <w:p w:rsidR="00161175" w:rsidRDefault="00161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27345"/>
    <w:multiLevelType w:val="hybridMultilevel"/>
    <w:tmpl w:val="E8A6EFA6"/>
    <w:lvl w:ilvl="0" w:tplc="89F86B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61175"/>
    <w:rsid w:val="00162732"/>
    <w:rsid w:val="002455EC"/>
    <w:rsid w:val="00271E22"/>
    <w:rsid w:val="00284EC3"/>
    <w:rsid w:val="00292ED9"/>
    <w:rsid w:val="003E3A41"/>
    <w:rsid w:val="00404E5B"/>
    <w:rsid w:val="00414F7B"/>
    <w:rsid w:val="004355DC"/>
    <w:rsid w:val="004749B4"/>
    <w:rsid w:val="00494130"/>
    <w:rsid w:val="004B3ABD"/>
    <w:rsid w:val="004F3523"/>
    <w:rsid w:val="00541D95"/>
    <w:rsid w:val="00546176"/>
    <w:rsid w:val="005713D3"/>
    <w:rsid w:val="005973B9"/>
    <w:rsid w:val="005B3A56"/>
    <w:rsid w:val="006060CE"/>
    <w:rsid w:val="00607DBE"/>
    <w:rsid w:val="0063497F"/>
    <w:rsid w:val="00647400"/>
    <w:rsid w:val="00873DF0"/>
    <w:rsid w:val="008756E6"/>
    <w:rsid w:val="008A08B6"/>
    <w:rsid w:val="009B2D44"/>
    <w:rsid w:val="00A07E82"/>
    <w:rsid w:val="00A475C7"/>
    <w:rsid w:val="00A9710C"/>
    <w:rsid w:val="00AE3E37"/>
    <w:rsid w:val="00B073B6"/>
    <w:rsid w:val="00B21A57"/>
    <w:rsid w:val="00B27ADF"/>
    <w:rsid w:val="00BE783D"/>
    <w:rsid w:val="00BF05EC"/>
    <w:rsid w:val="00BF46FA"/>
    <w:rsid w:val="00C3313A"/>
    <w:rsid w:val="00C33602"/>
    <w:rsid w:val="00CD6F55"/>
    <w:rsid w:val="00D00BC1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55207C"/>
  <w15:docId w15:val="{C54F7334-80E4-49C8-8544-2EB9D824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284EC3"/>
    <w:pPr>
      <w:widowControl/>
      <w:autoSpaceDE w:val="0"/>
      <w:autoSpaceDN w:val="0"/>
    </w:pPr>
    <w:rPr>
      <w:rFonts w:ascii="Times New Roman" w:eastAsia="Calibri" w:hAnsi="Times New Roman" w:cs="Times New Roman"/>
      <w:color w:val="000000"/>
      <w:sz w:val="24"/>
      <w:szCs w:val="24"/>
      <w:lang w:val="lt-LT"/>
    </w:rPr>
  </w:style>
  <w:style w:type="character" w:styleId="Strong">
    <w:name w:val="Strong"/>
    <w:basedOn w:val="DefaultParagraphFont"/>
    <w:uiPriority w:val="22"/>
    <w:qFormat/>
    <w:rsid w:val="00284EC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07DBE"/>
    <w:rPr>
      <w:color w:val="605E5C"/>
      <w:shd w:val="clear" w:color="auto" w:fill="E1DFDD"/>
    </w:rPr>
  </w:style>
  <w:style w:type="character" w:customStyle="1" w:styleId="tlid-translation">
    <w:name w:val="tlid-translation"/>
    <w:basedOn w:val="DefaultParagraphFont"/>
    <w:rsid w:val="00607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x.doi.org/10.15544/jws.2017.002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lvyadas.zibas@vdu.lt" TargetMode="Externa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yperlink" Target="mailto:grazina.zibiene@cdu.l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Dokumentai\Grazina\Mokslas\Ceolitas\Skaiciavimai_0522_keistas_kiekis_PC_keistas%20svori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Dokumentai\Grazina\Mokslas\Ceolitas\Skaiciavimai_0522_keistas_kiekis_PC_keistas%20svori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Biomass!$D$3</c:f>
              <c:strCache>
                <c:ptCount val="1"/>
                <c:pt idx="0">
                  <c:v>ACC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05B-451F-895E-70B889D2D6D1}"/>
                </c:ext>
              </c:extLst>
            </c:dLbl>
            <c:dLbl>
              <c:idx val="1"/>
              <c:layout>
                <c:manualLayout>
                  <c:x val="0"/>
                  <c:y val="2.556727388942154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05B-451F-895E-70B889D2D6D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05B-451F-895E-70B889D2D6D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latin typeface="Tw Cen MT" panose="020B0602020104020603" pitchFamily="34" charset="0"/>
                  </a:defRPr>
                </a:pPr>
                <a:endParaRPr lang="lt-L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BarType val="both"/>
            <c:errValType val="cust"/>
            <c:noEndCap val="0"/>
            <c:plus>
              <c:numRef>
                <c:f>Biomass!$I$4:$I$6</c:f>
                <c:numCache>
                  <c:formatCode>General</c:formatCode>
                  <c:ptCount val="3"/>
                  <c:pt idx="0">
                    <c:v>0.31</c:v>
                  </c:pt>
                  <c:pt idx="1">
                    <c:v>0.17</c:v>
                  </c:pt>
                  <c:pt idx="2">
                    <c:v>0.36</c:v>
                  </c:pt>
                </c:numCache>
              </c:numRef>
            </c:plus>
            <c:minus>
              <c:numRef>
                <c:f>Biomass!$I$5:$K$5</c:f>
                <c:numCache>
                  <c:formatCode>General</c:formatCode>
                  <c:ptCount val="3"/>
                  <c:pt idx="0">
                    <c:v>0.17</c:v>
                  </c:pt>
                  <c:pt idx="1">
                    <c:v>0.5</c:v>
                  </c:pt>
                </c:numCache>
              </c:numRef>
            </c:minus>
          </c:errBars>
          <c:cat>
            <c:strRef>
              <c:f>Biomass!$C$4:$C$6</c:f>
              <c:strCache>
                <c:ptCount val="3"/>
                <c:pt idx="0">
                  <c:v>Initial biomass (kg)</c:v>
                </c:pt>
                <c:pt idx="1">
                  <c:v>Final biomass (kg)</c:v>
                </c:pt>
                <c:pt idx="2">
                  <c:v>Biomass gain (kg)</c:v>
                </c:pt>
              </c:strCache>
            </c:strRef>
          </c:cat>
          <c:val>
            <c:numRef>
              <c:f>Biomass!$D$4:$D$6</c:f>
              <c:numCache>
                <c:formatCode>General</c:formatCode>
                <c:ptCount val="3"/>
                <c:pt idx="0">
                  <c:v>7.33</c:v>
                </c:pt>
                <c:pt idx="1">
                  <c:v>27.58</c:v>
                </c:pt>
                <c:pt idx="2">
                  <c:v>20.239999999999998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05B-451F-895E-70B889D2D6D1}"/>
            </c:ext>
          </c:extLst>
        </c:ser>
        <c:ser>
          <c:idx val="1"/>
          <c:order val="1"/>
          <c:tx>
            <c:strRef>
              <c:f>Biomass!$E$3</c:f>
              <c:strCache>
                <c:ptCount val="1"/>
                <c:pt idx="0">
                  <c:v>SCP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05B-451F-895E-70B889D2D6D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05B-451F-895E-70B889D2D6D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05B-451F-895E-70B889D2D6D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latin typeface="Tw Cen MT" panose="020B0602020104020603" pitchFamily="34" charset="0"/>
                  </a:defRPr>
                </a:pPr>
                <a:endParaRPr lang="lt-L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BarType val="both"/>
            <c:errValType val="cust"/>
            <c:noEndCap val="0"/>
            <c:plus>
              <c:numRef>
                <c:f>Biomass!$J$4:$J$6</c:f>
                <c:numCache>
                  <c:formatCode>General</c:formatCode>
                  <c:ptCount val="3"/>
                  <c:pt idx="0">
                    <c:v>0.21</c:v>
                  </c:pt>
                  <c:pt idx="1">
                    <c:v>0.5</c:v>
                  </c:pt>
                  <c:pt idx="2">
                    <c:v>0.41</c:v>
                  </c:pt>
                </c:numCache>
              </c:numRef>
            </c:plus>
            <c:minus>
              <c:numRef>
                <c:f>Biomass!$J$4:$J$6</c:f>
                <c:numCache>
                  <c:formatCode>General</c:formatCode>
                  <c:ptCount val="3"/>
                  <c:pt idx="0">
                    <c:v>0.21</c:v>
                  </c:pt>
                  <c:pt idx="1">
                    <c:v>0.5</c:v>
                  </c:pt>
                  <c:pt idx="2">
                    <c:v>0.41</c:v>
                  </c:pt>
                </c:numCache>
              </c:numRef>
            </c:minus>
          </c:errBars>
          <c:cat>
            <c:strRef>
              <c:f>Biomass!$C$4:$C$6</c:f>
              <c:strCache>
                <c:ptCount val="3"/>
                <c:pt idx="0">
                  <c:v>Initial biomass (kg)</c:v>
                </c:pt>
                <c:pt idx="1">
                  <c:v>Final biomass (kg)</c:v>
                </c:pt>
                <c:pt idx="2">
                  <c:v>Biomass gain (kg)</c:v>
                </c:pt>
              </c:strCache>
            </c:strRef>
          </c:cat>
          <c:val>
            <c:numRef>
              <c:f>Biomass!$E$4:$E$6</c:f>
              <c:numCache>
                <c:formatCode>General</c:formatCode>
                <c:ptCount val="3"/>
                <c:pt idx="0">
                  <c:v>7.78</c:v>
                </c:pt>
                <c:pt idx="1">
                  <c:v>17.91</c:v>
                </c:pt>
                <c:pt idx="2">
                  <c:v>10.130000000000001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05B-451F-895E-70B889D2D6D1}"/>
            </c:ext>
          </c:extLst>
        </c:ser>
        <c:ser>
          <c:idx val="2"/>
          <c:order val="2"/>
          <c:tx>
            <c:strRef>
              <c:f>Biomass!$F$3</c:f>
              <c:strCache>
                <c:ptCount val="1"/>
                <c:pt idx="0">
                  <c:v>SCD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lt-LT"/>
                      <a:t>a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505B-451F-895E-70B889D2D6D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lt-LT"/>
                      <a:t>b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05B-451F-895E-70B889D2D6D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lt-LT"/>
                      <a:t>c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505B-451F-895E-70B889D2D6D1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BarType val="both"/>
            <c:errValType val="cust"/>
            <c:noEndCap val="0"/>
            <c:plus>
              <c:numRef>
                <c:f>Biomass!$I$6:$K$6</c:f>
                <c:numCache>
                  <c:formatCode>General</c:formatCode>
                  <c:ptCount val="3"/>
                  <c:pt idx="0">
                    <c:v>0.36</c:v>
                  </c:pt>
                  <c:pt idx="1">
                    <c:v>0.41</c:v>
                  </c:pt>
                </c:numCache>
              </c:numRef>
            </c:plus>
            <c:minus>
              <c:numRef>
                <c:f>Biomass!$I$6:$K$6</c:f>
                <c:numCache>
                  <c:formatCode>General</c:formatCode>
                  <c:ptCount val="3"/>
                  <c:pt idx="0">
                    <c:v>0.36</c:v>
                  </c:pt>
                  <c:pt idx="1">
                    <c:v>0.41</c:v>
                  </c:pt>
                </c:numCache>
              </c:numRef>
            </c:minus>
          </c:errBars>
          <c:cat>
            <c:strRef>
              <c:f>Biomass!$C$4:$C$6</c:f>
              <c:strCache>
                <c:ptCount val="3"/>
                <c:pt idx="0">
                  <c:v>Initial biomass (kg)</c:v>
                </c:pt>
                <c:pt idx="1">
                  <c:v>Final biomass (kg)</c:v>
                </c:pt>
                <c:pt idx="2">
                  <c:v>Biomass gain (kg)</c:v>
                </c:pt>
              </c:strCache>
            </c:strRef>
          </c:cat>
          <c:val>
            <c:numRef>
              <c:f>Biomass!$F$4:$F$6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B-505B-451F-895E-70B889D2D6D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51739776"/>
        <c:axId val="151741568"/>
      </c:barChart>
      <c:catAx>
        <c:axId val="1517397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Tw Cen MT" panose="020B0602020104020603" pitchFamily="34" charset="0"/>
              </a:defRPr>
            </a:pPr>
            <a:endParaRPr lang="lt-LT"/>
          </a:p>
        </c:txPr>
        <c:crossAx val="151741568"/>
        <c:crosses val="autoZero"/>
        <c:auto val="1"/>
        <c:lblAlgn val="ctr"/>
        <c:lblOffset val="100"/>
        <c:noMultiLvlLbl val="0"/>
      </c:catAx>
      <c:valAx>
        <c:axId val="151741568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 rot="-5400000" vert="horz"/>
              <a:lstStyle/>
              <a:p>
                <a:pPr>
                  <a:defRPr sz="900">
                    <a:latin typeface="Tw Cen MT" panose="020B0602020104020603" pitchFamily="34" charset="0"/>
                  </a:defRPr>
                </a:pPr>
                <a:r>
                  <a:rPr lang="lt-LT" sz="900">
                    <a:latin typeface="Tw Cen MT" panose="020B0602020104020603" pitchFamily="34" charset="0"/>
                  </a:rPr>
                  <a:t>Biomass and biomass gain (kg)</a:t>
                </a:r>
              </a:p>
            </c:rich>
          </c:tx>
          <c:layout>
            <c:manualLayout>
              <c:xMode val="edge"/>
              <c:yMode val="edge"/>
              <c:x val="2.2222222222222223E-2"/>
              <c:y val="5.5983887430737823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Tw Cen MT" panose="020B0602020104020603" pitchFamily="34" charset="0"/>
              </a:defRPr>
            </a:pPr>
            <a:endParaRPr lang="lt-LT"/>
          </a:p>
        </c:txPr>
        <c:crossAx val="151739776"/>
        <c:crosses val="autoZero"/>
        <c:crossBetween val="between"/>
      </c:valAx>
      <c:spPr>
        <a:ln>
          <a:solidFill>
            <a:schemeClr val="tx1"/>
          </a:solidFill>
        </a:ln>
      </c:spPr>
    </c:plotArea>
    <c:legend>
      <c:legendPos val="b"/>
      <c:overlay val="0"/>
      <c:txPr>
        <a:bodyPr/>
        <a:lstStyle/>
        <a:p>
          <a:pPr>
            <a:defRPr sz="900">
              <a:latin typeface="Tw Cen MT" panose="020B0602020104020603" pitchFamily="34" charset="0"/>
            </a:defRPr>
          </a:pPr>
          <a:endParaRPr lang="lt-LT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lt-LT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'SGR, CF, FCR, GCE, TGC'!$D$2</c:f>
              <c:strCache>
                <c:ptCount val="1"/>
                <c:pt idx="0">
                  <c:v>ACC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FE7-4128-A150-42750FE378B5}"/>
                </c:ext>
              </c:extLst>
            </c:dLbl>
            <c:dLbl>
              <c:idx val="1"/>
              <c:layout>
                <c:manualLayout>
                  <c:x val="5.600358422939068E-3"/>
                  <c:y val="-1.238381712186958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FE7-4128-A150-42750FE378B5}"/>
                </c:ext>
              </c:extLst>
            </c:dLbl>
            <c:dLbl>
              <c:idx val="2"/>
              <c:layout>
                <c:manualLayout>
                  <c:x val="-5.6252704456945045E-2"/>
                  <c:y val="6.84228532329798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FE7-4128-A150-42750FE378B5}"/>
                </c:ext>
              </c:extLst>
            </c:dLbl>
            <c:dLbl>
              <c:idx val="3"/>
              <c:layout>
                <c:manualLayout>
                  <c:x val="0"/>
                  <c:y val="-1.2383900928792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FE7-4128-A150-42750FE378B5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BarType val="both"/>
            <c:errValType val="cust"/>
            <c:noEndCap val="0"/>
            <c:plus>
              <c:numRef>
                <c:f>'SGR, CF, FCR, GCE, TGC'!$I$3:$I$6</c:f>
                <c:numCache>
                  <c:formatCode>General</c:formatCode>
                  <c:ptCount val="4"/>
                  <c:pt idx="0">
                    <c:v>0.05</c:v>
                  </c:pt>
                  <c:pt idx="1">
                    <c:v>0.01</c:v>
                  </c:pt>
                  <c:pt idx="2">
                    <c:v>7.0000000000000007E-2</c:v>
                  </c:pt>
                </c:numCache>
              </c:numRef>
            </c:plus>
            <c:minus>
              <c:numRef>
                <c:f>'SGR, CF, FCR, GCE, TGC'!$I$3:$I$6</c:f>
                <c:numCache>
                  <c:formatCode>General</c:formatCode>
                  <c:ptCount val="4"/>
                  <c:pt idx="0">
                    <c:v>0.05</c:v>
                  </c:pt>
                  <c:pt idx="1">
                    <c:v>0.01</c:v>
                  </c:pt>
                  <c:pt idx="2">
                    <c:v>7.0000000000000007E-2</c:v>
                  </c:pt>
                </c:numCache>
              </c:numRef>
            </c:minus>
          </c:errBars>
          <c:cat>
            <c:strRef>
              <c:f>'SGR, CF, FCR, GCE, TGC'!$C$3:$C$5</c:f>
              <c:strCache>
                <c:ptCount val="3"/>
                <c:pt idx="0">
                  <c:v>CF</c:v>
                </c:pt>
                <c:pt idx="1">
                  <c:v>FCR</c:v>
                </c:pt>
                <c:pt idx="2">
                  <c:v>GCE</c:v>
                </c:pt>
              </c:strCache>
            </c:strRef>
          </c:cat>
          <c:val>
            <c:numRef>
              <c:f>'SGR, CF, FCR, GCE, TGC'!$D$3:$D$5</c:f>
              <c:numCache>
                <c:formatCode>General</c:formatCode>
                <c:ptCount val="3"/>
                <c:pt idx="0">
                  <c:v>2.31</c:v>
                </c:pt>
                <c:pt idx="1">
                  <c:v>0.27</c:v>
                </c:pt>
                <c:pt idx="2">
                  <c:v>3.68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FE7-4128-A150-42750FE378B5}"/>
            </c:ext>
          </c:extLst>
        </c:ser>
        <c:ser>
          <c:idx val="1"/>
          <c:order val="1"/>
          <c:tx>
            <c:strRef>
              <c:f>'SGR, CF, FCR, GCE, TGC'!$E$2</c:f>
              <c:strCache>
                <c:ptCount val="1"/>
                <c:pt idx="0">
                  <c:v>SCP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FE7-4128-A150-42750FE378B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FE7-4128-A150-42750FE378B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FE7-4128-A150-42750FE378B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FE7-4128-A150-42750FE378B5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BarType val="both"/>
            <c:errValType val="cust"/>
            <c:noEndCap val="0"/>
            <c:plus>
              <c:numRef>
                <c:f>'SGR, CF, FCR, GCE, TGC'!$J$3:$J$6</c:f>
                <c:numCache>
                  <c:formatCode>General</c:formatCode>
                  <c:ptCount val="4"/>
                  <c:pt idx="0">
                    <c:v>0.06</c:v>
                  </c:pt>
                  <c:pt idx="1">
                    <c:v>7.0000000000000007E-2</c:v>
                  </c:pt>
                  <c:pt idx="2">
                    <c:v>0.08</c:v>
                  </c:pt>
                </c:numCache>
              </c:numRef>
            </c:plus>
            <c:minus>
              <c:numRef>
                <c:f>'SGR, CF, FCR, GCE, TGC'!$J$3:$J$6</c:f>
                <c:numCache>
                  <c:formatCode>General</c:formatCode>
                  <c:ptCount val="4"/>
                  <c:pt idx="0">
                    <c:v>0.06</c:v>
                  </c:pt>
                  <c:pt idx="1">
                    <c:v>7.0000000000000007E-2</c:v>
                  </c:pt>
                  <c:pt idx="2">
                    <c:v>0.08</c:v>
                  </c:pt>
                </c:numCache>
              </c:numRef>
            </c:minus>
          </c:errBars>
          <c:cat>
            <c:strRef>
              <c:f>'SGR, CF, FCR, GCE, TGC'!$C$3:$C$5</c:f>
              <c:strCache>
                <c:ptCount val="3"/>
                <c:pt idx="0">
                  <c:v>CF</c:v>
                </c:pt>
                <c:pt idx="1">
                  <c:v>FCR</c:v>
                </c:pt>
                <c:pt idx="2">
                  <c:v>GCE</c:v>
                </c:pt>
              </c:strCache>
            </c:strRef>
          </c:cat>
          <c:val>
            <c:numRef>
              <c:f>'SGR, CF, FCR, GCE, TGC'!$E$3:$E$5</c:f>
              <c:numCache>
                <c:formatCode>General</c:formatCode>
                <c:ptCount val="3"/>
                <c:pt idx="0">
                  <c:v>1.49</c:v>
                </c:pt>
                <c:pt idx="1">
                  <c:v>0.55000000000000004</c:v>
                </c:pt>
                <c:pt idx="2">
                  <c:v>1.83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7FE7-4128-A150-42750FE378B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51760256"/>
        <c:axId val="152372352"/>
      </c:barChart>
      <c:catAx>
        <c:axId val="1517602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52372352"/>
        <c:crosses val="autoZero"/>
        <c:auto val="1"/>
        <c:lblAlgn val="ctr"/>
        <c:lblOffset val="100"/>
        <c:noMultiLvlLbl val="0"/>
      </c:catAx>
      <c:valAx>
        <c:axId val="152372352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CF, FCR</a:t>
                </a:r>
                <a:r>
                  <a:rPr lang="lt-LT"/>
                  <a:t> and</a:t>
                </a:r>
                <a:r>
                  <a:rPr lang="en-US"/>
                  <a:t> GCE </a:t>
                </a:r>
                <a:r>
                  <a:rPr lang="lt-LT"/>
                  <a:t> </a:t>
                </a:r>
                <a:r>
                  <a:rPr lang="en-US"/>
                  <a:t>oefficients</a:t>
                </a:r>
                <a:endParaRPr lang="lt-LT"/>
              </a:p>
            </c:rich>
          </c:tx>
          <c:layout>
            <c:manualLayout>
              <c:xMode val="edge"/>
              <c:yMode val="edge"/>
              <c:x val="1.7287689089267068E-2"/>
              <c:y val="6.8298473000153334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51760256"/>
        <c:crosses val="autoZero"/>
        <c:crossBetween val="between"/>
      </c:valAx>
      <c:spPr>
        <a:ln>
          <a:solidFill>
            <a:schemeClr val="tx1"/>
          </a:solidFill>
        </a:ln>
      </c:spPr>
    </c:plotArea>
    <c:legend>
      <c:legendPos val="b"/>
      <c:layout>
        <c:manualLayout>
          <c:xMode val="edge"/>
          <c:yMode val="edge"/>
          <c:x val="0.45286514326952071"/>
          <c:y val="0.9047957550197866"/>
          <c:w val="0.28008264503660207"/>
          <c:h val="7.0436443122628242E-2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Tw Cen MT" panose="020B0602020104020603" pitchFamily="34" charset="0"/>
          <a:cs typeface="Arial" panose="020B0604020202020204" pitchFamily="34" charset="0"/>
        </a:defRPr>
      </a:pPr>
      <a:endParaRPr lang="lt-LT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2633</Words>
  <Characters>1502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Vartotojas</cp:lastModifiedBy>
  <cp:revision>2</cp:revision>
  <dcterms:created xsi:type="dcterms:W3CDTF">2020-11-11T09:08:00Z</dcterms:created>
  <dcterms:modified xsi:type="dcterms:W3CDTF">2020-11-11T09:08:00Z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