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4CC" w:rsidRDefault="00952031" w:rsidP="00952031">
      <w:pPr>
        <w:jc w:val="center"/>
        <w:rPr>
          <w:sz w:val="28"/>
          <w:szCs w:val="28"/>
          <w:lang w:val="en-GB"/>
        </w:rPr>
      </w:pPr>
      <w:r w:rsidRPr="00952031">
        <w:rPr>
          <w:sz w:val="28"/>
          <w:szCs w:val="28"/>
          <w:lang w:val="en-GB"/>
        </w:rPr>
        <w:t xml:space="preserve">The effect of thermal and saline oscillations in the oxidative stress and digestive systems of </w:t>
      </w:r>
      <w:proofErr w:type="spellStart"/>
      <w:r w:rsidRPr="00952031">
        <w:rPr>
          <w:sz w:val="28"/>
          <w:szCs w:val="28"/>
          <w:lang w:val="en-GB"/>
        </w:rPr>
        <w:t>Crassostrea</w:t>
      </w:r>
      <w:proofErr w:type="spellEnd"/>
      <w:r w:rsidRPr="00952031">
        <w:rPr>
          <w:sz w:val="28"/>
          <w:szCs w:val="28"/>
          <w:lang w:val="en-GB"/>
        </w:rPr>
        <w:t xml:space="preserve"> </w:t>
      </w:r>
      <w:proofErr w:type="spellStart"/>
      <w:r w:rsidRPr="00952031">
        <w:rPr>
          <w:sz w:val="28"/>
          <w:szCs w:val="28"/>
          <w:lang w:val="en-GB"/>
        </w:rPr>
        <w:t>gigas</w:t>
      </w:r>
      <w:proofErr w:type="spellEnd"/>
      <w:r w:rsidRPr="00952031">
        <w:rPr>
          <w:sz w:val="28"/>
          <w:szCs w:val="28"/>
          <w:lang w:val="en-GB"/>
        </w:rPr>
        <w:t xml:space="preserve"> e </w:t>
      </w:r>
      <w:proofErr w:type="spellStart"/>
      <w:r w:rsidRPr="00952031">
        <w:rPr>
          <w:sz w:val="28"/>
          <w:szCs w:val="28"/>
          <w:lang w:val="en-GB"/>
        </w:rPr>
        <w:t>Crassostrea</w:t>
      </w:r>
      <w:proofErr w:type="spellEnd"/>
      <w:r w:rsidRPr="00952031">
        <w:rPr>
          <w:sz w:val="28"/>
          <w:szCs w:val="28"/>
          <w:lang w:val="en-GB"/>
        </w:rPr>
        <w:t xml:space="preserve"> </w:t>
      </w:r>
      <w:r>
        <w:rPr>
          <w:sz w:val="28"/>
          <w:szCs w:val="28"/>
          <w:lang w:val="en-GB"/>
        </w:rPr>
        <w:t>angulate</w:t>
      </w:r>
    </w:p>
    <w:p w:rsidR="00952031" w:rsidRPr="00E96CDF" w:rsidRDefault="00E96CDF" w:rsidP="00952031">
      <w:pPr>
        <w:rPr>
          <w:sz w:val="24"/>
          <w:szCs w:val="24"/>
          <w:lang w:val="pt-PT"/>
        </w:rPr>
      </w:pPr>
      <w:r w:rsidRPr="00E96CDF">
        <w:rPr>
          <w:sz w:val="24"/>
          <w:szCs w:val="24"/>
          <w:lang w:val="pt-PT"/>
        </w:rPr>
        <w:t>Luís Pereira</w:t>
      </w:r>
      <w:r w:rsidRPr="00E96CDF">
        <w:rPr>
          <w:sz w:val="24"/>
          <w:szCs w:val="24"/>
          <w:vertAlign w:val="superscript"/>
          <w:lang w:val="pt-PT"/>
        </w:rPr>
        <w:t>1</w:t>
      </w:r>
      <w:r w:rsidRPr="00E96CDF">
        <w:rPr>
          <w:sz w:val="24"/>
          <w:szCs w:val="24"/>
          <w:lang w:val="pt-PT"/>
        </w:rPr>
        <w:t xml:space="preserve">, Jorge Machado </w:t>
      </w:r>
      <w:r w:rsidRPr="00E96CDF">
        <w:rPr>
          <w:sz w:val="24"/>
          <w:szCs w:val="24"/>
          <w:vertAlign w:val="superscript"/>
          <w:lang w:val="pt-PT"/>
        </w:rPr>
        <w:t>1,2</w:t>
      </w:r>
      <w:r w:rsidRPr="00E96CDF">
        <w:rPr>
          <w:sz w:val="24"/>
          <w:szCs w:val="24"/>
          <w:lang w:val="pt-PT"/>
        </w:rPr>
        <w:t xml:space="preserve">, José F. M. Gonçalves </w:t>
      </w:r>
      <w:r w:rsidRPr="00E96CDF">
        <w:rPr>
          <w:sz w:val="24"/>
          <w:szCs w:val="24"/>
          <w:vertAlign w:val="superscript"/>
          <w:lang w:val="pt-PT"/>
        </w:rPr>
        <w:t>1,2</w:t>
      </w:r>
      <w:r w:rsidRPr="00E96CDF">
        <w:rPr>
          <w:sz w:val="24"/>
          <w:szCs w:val="24"/>
          <w:lang w:val="pt-PT"/>
        </w:rPr>
        <w:t xml:space="preserve">, Paulo Vaz-Pires </w:t>
      </w:r>
      <w:r w:rsidRPr="00E96CDF">
        <w:rPr>
          <w:sz w:val="24"/>
          <w:szCs w:val="24"/>
          <w:vertAlign w:val="superscript"/>
          <w:lang w:val="pt-PT"/>
        </w:rPr>
        <w:t>1,2</w:t>
      </w:r>
      <w:r w:rsidRPr="00E96CDF">
        <w:rPr>
          <w:sz w:val="24"/>
          <w:szCs w:val="24"/>
          <w:lang w:val="pt-PT"/>
        </w:rPr>
        <w:t>, Mariana Hinzmann</w:t>
      </w:r>
      <w:r w:rsidRPr="00E96CDF">
        <w:rPr>
          <w:sz w:val="24"/>
          <w:szCs w:val="24"/>
          <w:vertAlign w:val="superscript"/>
          <w:lang w:val="pt-PT"/>
        </w:rPr>
        <w:t>2</w:t>
      </w:r>
      <w:r w:rsidRPr="00E96CDF">
        <w:rPr>
          <w:sz w:val="24"/>
          <w:szCs w:val="24"/>
          <w:lang w:val="pt-PT"/>
        </w:rPr>
        <w:t>, Rodrigo O. A. Ozório</w:t>
      </w:r>
      <w:r w:rsidRPr="00E96CDF">
        <w:rPr>
          <w:sz w:val="24"/>
          <w:szCs w:val="24"/>
          <w:vertAlign w:val="superscript"/>
          <w:lang w:val="pt-PT"/>
        </w:rPr>
        <w:t>1</w:t>
      </w:r>
      <w:r w:rsidR="009B25FC">
        <w:rPr>
          <w:sz w:val="24"/>
          <w:szCs w:val="24"/>
          <w:vertAlign w:val="superscript"/>
          <w:lang w:val="pt-PT"/>
        </w:rPr>
        <w:t>*</w:t>
      </w:r>
      <w:r w:rsidRPr="00E96CDF">
        <w:rPr>
          <w:sz w:val="24"/>
          <w:szCs w:val="24"/>
          <w:lang w:val="pt-PT"/>
        </w:rPr>
        <w:t xml:space="preserve">, </w:t>
      </w:r>
    </w:p>
    <w:p w:rsidR="00F059F6" w:rsidRDefault="00E96CDF" w:rsidP="00E96CDF">
      <w:pPr>
        <w:rPr>
          <w:sz w:val="24"/>
          <w:szCs w:val="24"/>
          <w:lang w:val="pt-PT"/>
        </w:rPr>
      </w:pPr>
      <w:r w:rsidRPr="00E96CDF">
        <w:rPr>
          <w:sz w:val="24"/>
          <w:szCs w:val="24"/>
          <w:lang w:val="pt-PT"/>
        </w:rPr>
        <w:t>* Presenting author:</w:t>
      </w:r>
      <w:r w:rsidR="009B25FC">
        <w:rPr>
          <w:sz w:val="24"/>
          <w:szCs w:val="24"/>
          <w:lang w:val="pt-PT"/>
        </w:rPr>
        <w:t xml:space="preserve"> </w:t>
      </w:r>
      <w:bookmarkStart w:id="0" w:name="_GoBack"/>
      <w:bookmarkEnd w:id="0"/>
      <w:r w:rsidR="009B25FC">
        <w:rPr>
          <w:sz w:val="24"/>
          <w:szCs w:val="24"/>
          <w:lang w:val="pt-PT"/>
        </w:rPr>
        <w:t>rodrigo.ozorio@ciimar.up.pt</w:t>
      </w:r>
      <w:r w:rsidRPr="00E96CDF">
        <w:rPr>
          <w:sz w:val="24"/>
          <w:szCs w:val="24"/>
          <w:lang w:val="pt-PT"/>
        </w:rPr>
        <w:t xml:space="preserve"> </w:t>
      </w:r>
    </w:p>
    <w:p w:rsidR="00E96CDF" w:rsidRDefault="00E96CDF" w:rsidP="00E96CDF">
      <w:pPr>
        <w:rPr>
          <w:sz w:val="20"/>
          <w:szCs w:val="20"/>
          <w:lang w:val="pt-PT"/>
        </w:rPr>
      </w:pPr>
      <w:r w:rsidRPr="00E96CDF">
        <w:rPr>
          <w:sz w:val="20"/>
          <w:szCs w:val="20"/>
          <w:lang w:val="pt-PT"/>
        </w:rPr>
        <w:t>1 CIMAR/CIIMAR, Centro Interdisciplinar de Investigação Marinha e Ambiental, Universidade do Porto , Av. General Norton de Matos s/n, 4050-208 Matosinhos, Portu</w:t>
      </w:r>
      <w:r>
        <w:rPr>
          <w:sz w:val="20"/>
          <w:szCs w:val="20"/>
          <w:lang w:val="pt-PT"/>
        </w:rPr>
        <w:t>gal</w:t>
      </w:r>
      <w:r w:rsidRPr="00E96CDF">
        <w:rPr>
          <w:sz w:val="20"/>
          <w:szCs w:val="20"/>
          <w:lang w:val="pt-PT"/>
        </w:rPr>
        <w:t xml:space="preserve"> </w:t>
      </w:r>
    </w:p>
    <w:p w:rsidR="00E96CDF" w:rsidRDefault="00E96CDF" w:rsidP="00E96CDF">
      <w:pPr>
        <w:rPr>
          <w:sz w:val="20"/>
          <w:szCs w:val="20"/>
          <w:lang w:val="pt-PT"/>
        </w:rPr>
      </w:pPr>
      <w:r w:rsidRPr="00E96CDF">
        <w:rPr>
          <w:sz w:val="20"/>
          <w:szCs w:val="20"/>
          <w:lang w:val="pt-PT"/>
        </w:rPr>
        <w:t>2 ICBAS, Instituto de Ciências Biomédicas Abel Salazar, Universidade do Porto, Rua Jorge de Viterbo Ferreira 228 4050-313 Porto, Portugal</w:t>
      </w:r>
    </w:p>
    <w:p w:rsidR="00E96CDF" w:rsidRDefault="00E96CDF" w:rsidP="00E96CDF">
      <w:pPr>
        <w:rPr>
          <w:sz w:val="20"/>
          <w:szCs w:val="20"/>
          <w:lang w:val="pt-PT"/>
        </w:rPr>
      </w:pPr>
    </w:p>
    <w:p w:rsidR="00E96CDF" w:rsidRPr="00E96CDF" w:rsidRDefault="00E96CDF" w:rsidP="00E96CDF">
      <w:pPr>
        <w:rPr>
          <w:sz w:val="20"/>
          <w:szCs w:val="20"/>
        </w:rPr>
      </w:pPr>
      <w:r w:rsidRPr="00E96CDF">
        <w:rPr>
          <w:sz w:val="20"/>
          <w:szCs w:val="20"/>
        </w:rPr>
        <w:t>ABSTRACT:</w:t>
      </w:r>
    </w:p>
    <w:p w:rsidR="00E96CDF" w:rsidRDefault="00E96CDF" w:rsidP="00E96CDF">
      <w:pPr>
        <w:jc w:val="both"/>
        <w:rPr>
          <w:sz w:val="20"/>
          <w:szCs w:val="20"/>
        </w:rPr>
      </w:pPr>
      <w:r w:rsidRPr="00E96CDF">
        <w:rPr>
          <w:sz w:val="20"/>
          <w:szCs w:val="20"/>
        </w:rPr>
        <w:t xml:space="preserve">Environmental changes can limit and even damage </w:t>
      </w:r>
      <w:r>
        <w:rPr>
          <w:sz w:val="20"/>
          <w:szCs w:val="20"/>
        </w:rPr>
        <w:t>bivalve</w:t>
      </w:r>
      <w:r w:rsidRPr="00E96CDF">
        <w:rPr>
          <w:sz w:val="20"/>
          <w:szCs w:val="20"/>
        </w:rPr>
        <w:t xml:space="preserve"> cultivation industry. Temperature and salinity variations especially, are the cause for mass mortalities every year. In pursue of better understanding of the vulnerability to temperature and salinity variations, we have conducted 2 experiments for a period of 7 and 10 weeks with Pacific oyster (</w:t>
      </w:r>
      <w:proofErr w:type="spellStart"/>
      <w:r w:rsidRPr="00E96CDF">
        <w:rPr>
          <w:i/>
          <w:sz w:val="20"/>
          <w:szCs w:val="20"/>
        </w:rPr>
        <w:t>Crassostrea</w:t>
      </w:r>
      <w:proofErr w:type="spellEnd"/>
      <w:r w:rsidRPr="00E96CDF">
        <w:rPr>
          <w:i/>
          <w:sz w:val="20"/>
          <w:szCs w:val="20"/>
        </w:rPr>
        <w:t xml:space="preserve"> </w:t>
      </w:r>
      <w:proofErr w:type="spellStart"/>
      <w:r w:rsidRPr="00E96CDF">
        <w:rPr>
          <w:i/>
          <w:sz w:val="20"/>
          <w:szCs w:val="20"/>
        </w:rPr>
        <w:t>gigas</w:t>
      </w:r>
      <w:proofErr w:type="spellEnd"/>
      <w:r w:rsidRPr="00E96CDF">
        <w:rPr>
          <w:sz w:val="20"/>
          <w:szCs w:val="20"/>
        </w:rPr>
        <w:t>) (31.2±4.1g) and Portuguese oyster (</w:t>
      </w:r>
      <w:proofErr w:type="spellStart"/>
      <w:r w:rsidRPr="00E96CDF">
        <w:rPr>
          <w:i/>
          <w:sz w:val="20"/>
          <w:szCs w:val="20"/>
        </w:rPr>
        <w:t>Crassostrea</w:t>
      </w:r>
      <w:proofErr w:type="spellEnd"/>
      <w:r w:rsidRPr="00E96CDF">
        <w:rPr>
          <w:i/>
          <w:sz w:val="20"/>
          <w:szCs w:val="20"/>
        </w:rPr>
        <w:t xml:space="preserve"> </w:t>
      </w:r>
      <w:proofErr w:type="spellStart"/>
      <w:r w:rsidRPr="00E96CDF">
        <w:rPr>
          <w:i/>
          <w:sz w:val="20"/>
          <w:szCs w:val="20"/>
        </w:rPr>
        <w:t>angulata</w:t>
      </w:r>
      <w:proofErr w:type="spellEnd"/>
      <w:r w:rsidRPr="00E96CDF">
        <w:rPr>
          <w:sz w:val="20"/>
          <w:szCs w:val="20"/>
        </w:rPr>
        <w:t xml:space="preserve">) (31.5±3.2g), respectively. Oysters were separated in 2 groups: one group was submitted to stable temperature and salinity conditions (control) and the other group was submitted to weekly oscillations of temperature and salinity. Cumulative mortality, digestive enzymes and oxidative stress parameters were analyzed in both groups. Oxidative stress response was significantly different between </w:t>
      </w:r>
      <w:proofErr w:type="spellStart"/>
      <w:r w:rsidRPr="00E96CDF">
        <w:rPr>
          <w:sz w:val="20"/>
          <w:szCs w:val="20"/>
        </w:rPr>
        <w:t>hepatopancreas</w:t>
      </w:r>
      <w:proofErr w:type="spellEnd"/>
      <w:r w:rsidRPr="00E96CDF">
        <w:rPr>
          <w:sz w:val="20"/>
          <w:szCs w:val="20"/>
        </w:rPr>
        <w:t xml:space="preserve"> and gill, where gill showed a glutathione ratio (GSH/GSSG) four times higher than the </w:t>
      </w:r>
      <w:proofErr w:type="spellStart"/>
      <w:r w:rsidRPr="00E96CDF">
        <w:rPr>
          <w:sz w:val="20"/>
          <w:szCs w:val="20"/>
        </w:rPr>
        <w:t>hepatopancreas</w:t>
      </w:r>
      <w:proofErr w:type="spellEnd"/>
      <w:r w:rsidRPr="00E96CDF">
        <w:rPr>
          <w:sz w:val="20"/>
          <w:szCs w:val="20"/>
        </w:rPr>
        <w:t xml:space="preserve">, suggesting a more reactive role in gill. Cumulative mortality was three times higher in oyster subjected to temperature and salinity oscillations, especially in Portuguese oyster. Digestive enzymes activities were similar between species in control groups. However, environmental changes caused an inhibition in amylase activity </w:t>
      </w:r>
      <w:r>
        <w:rPr>
          <w:sz w:val="20"/>
          <w:szCs w:val="20"/>
        </w:rPr>
        <w:t xml:space="preserve">only </w:t>
      </w:r>
      <w:r w:rsidRPr="00E96CDF">
        <w:rPr>
          <w:sz w:val="20"/>
          <w:szCs w:val="20"/>
        </w:rPr>
        <w:t xml:space="preserve">in </w:t>
      </w:r>
      <w:r>
        <w:rPr>
          <w:sz w:val="20"/>
          <w:szCs w:val="20"/>
        </w:rPr>
        <w:t xml:space="preserve">the </w:t>
      </w:r>
      <w:r w:rsidRPr="00E96CDF">
        <w:rPr>
          <w:sz w:val="20"/>
          <w:szCs w:val="20"/>
        </w:rPr>
        <w:t>Portuguese oyster</w:t>
      </w:r>
      <w:r>
        <w:rPr>
          <w:sz w:val="20"/>
          <w:szCs w:val="20"/>
        </w:rPr>
        <w:t>,</w:t>
      </w:r>
      <w:r w:rsidRPr="00E96CDF">
        <w:rPr>
          <w:sz w:val="20"/>
          <w:szCs w:val="20"/>
        </w:rPr>
        <w:t xml:space="preserve"> </w:t>
      </w:r>
      <w:r>
        <w:rPr>
          <w:sz w:val="20"/>
          <w:szCs w:val="20"/>
        </w:rPr>
        <w:t>s</w:t>
      </w:r>
      <w:r w:rsidRPr="00E96CDF">
        <w:rPr>
          <w:sz w:val="20"/>
          <w:szCs w:val="20"/>
        </w:rPr>
        <w:t>uggesting an adaptive role of digestive system</w:t>
      </w:r>
      <w:r>
        <w:rPr>
          <w:sz w:val="20"/>
          <w:szCs w:val="20"/>
        </w:rPr>
        <w:t xml:space="preserve"> of </w:t>
      </w:r>
      <w:r w:rsidRPr="00E96CDF">
        <w:rPr>
          <w:sz w:val="20"/>
          <w:szCs w:val="20"/>
        </w:rPr>
        <w:t xml:space="preserve">the Pacific oyster </w:t>
      </w:r>
      <w:r>
        <w:rPr>
          <w:sz w:val="20"/>
          <w:szCs w:val="20"/>
        </w:rPr>
        <w:t>during environmental stress conditions</w:t>
      </w:r>
      <w:r w:rsidRPr="00E96CDF">
        <w:rPr>
          <w:sz w:val="20"/>
          <w:szCs w:val="20"/>
        </w:rPr>
        <w:t>.</w:t>
      </w:r>
    </w:p>
    <w:p w:rsidR="00E96CDF" w:rsidRDefault="00E96CDF" w:rsidP="00E96CDF">
      <w:pPr>
        <w:jc w:val="both"/>
        <w:rPr>
          <w:sz w:val="20"/>
          <w:szCs w:val="20"/>
        </w:rPr>
      </w:pPr>
    </w:p>
    <w:p w:rsidR="00E96CDF" w:rsidRPr="00E96CDF" w:rsidRDefault="00E96CDF" w:rsidP="00E96CDF">
      <w:pPr>
        <w:jc w:val="both"/>
        <w:rPr>
          <w:sz w:val="20"/>
          <w:szCs w:val="20"/>
        </w:rPr>
      </w:pPr>
      <w:r w:rsidRPr="00E96CDF">
        <w:rPr>
          <w:sz w:val="20"/>
          <w:szCs w:val="20"/>
        </w:rPr>
        <w:t xml:space="preserve">Acknowledgement: The current study is part of the Research Line INSEAFOOD of the project INNOVMAR-Innovation and Sustainability in the Management and Exploitation of Marine Resources (reference NORTE-01-0145-FEDER-000035), funded by the Northern Regional Operational </w:t>
      </w:r>
      <w:proofErr w:type="spellStart"/>
      <w:r w:rsidRPr="00E96CDF">
        <w:rPr>
          <w:sz w:val="20"/>
          <w:szCs w:val="20"/>
        </w:rPr>
        <w:t>Programme</w:t>
      </w:r>
      <w:proofErr w:type="spellEnd"/>
      <w:r w:rsidRPr="00E96CDF">
        <w:rPr>
          <w:sz w:val="20"/>
          <w:szCs w:val="20"/>
        </w:rPr>
        <w:t xml:space="preserve">  (NORTE 2020) through the European Regional Development fund (ERDF).</w:t>
      </w:r>
    </w:p>
    <w:sectPr w:rsidR="00E96CDF" w:rsidRPr="00E96CD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E1318"/>
    <w:multiLevelType w:val="hybridMultilevel"/>
    <w:tmpl w:val="54883FF4"/>
    <w:lvl w:ilvl="0" w:tplc="99721BE4">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031"/>
    <w:rsid w:val="00052809"/>
    <w:rsid w:val="00292EB5"/>
    <w:rsid w:val="00952031"/>
    <w:rsid w:val="009B25FC"/>
    <w:rsid w:val="00DB4FFE"/>
    <w:rsid w:val="00E96CDF"/>
    <w:rsid w:val="00F0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48D038-26AA-41C9-89E2-9619830EF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CDF"/>
    <w:pPr>
      <w:ind w:left="720"/>
      <w:contextualSpacing/>
    </w:pPr>
  </w:style>
  <w:style w:type="character" w:styleId="Hyperlink">
    <w:name w:val="Hyperlink"/>
    <w:basedOn w:val="DefaultParagraphFont"/>
    <w:uiPriority w:val="99"/>
    <w:unhideWhenUsed/>
    <w:rsid w:val="00E96C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dc:creator>
  <cp:keywords/>
  <dc:description/>
  <cp:lastModifiedBy>rodrigo</cp:lastModifiedBy>
  <cp:revision>2</cp:revision>
  <dcterms:created xsi:type="dcterms:W3CDTF">2018-02-22T12:23:00Z</dcterms:created>
  <dcterms:modified xsi:type="dcterms:W3CDTF">2018-02-22T12:23:00Z</dcterms:modified>
</cp:coreProperties>
</file>