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633A7F" w14:textId="77777777" w:rsidR="00843541" w:rsidRPr="00907560" w:rsidRDefault="00907560" w:rsidP="00907560">
      <w:pPr>
        <w:spacing w:before="100" w:beforeAutospacing="1" w:after="100" w:afterAutospacing="1" w:line="240" w:lineRule="auto"/>
        <w:jc w:val="center"/>
        <w:rPr>
          <w:rFonts w:ascii="Times New Roman" w:hAnsi="Times New Roman" w:cs="Times New Roman"/>
          <w:b/>
          <w:bCs/>
          <w:sz w:val="32"/>
          <w:szCs w:val="32"/>
        </w:rPr>
      </w:pPr>
      <w:r w:rsidRPr="00907560">
        <w:rPr>
          <w:rFonts w:ascii="Times New Roman" w:hAnsi="Times New Roman" w:cs="Times New Roman"/>
          <w:b/>
          <w:bCs/>
          <w:sz w:val="32"/>
          <w:szCs w:val="32"/>
        </w:rPr>
        <w:t xml:space="preserve">IDAC-Dose 2.1 against OLINDA 1 for internal </w:t>
      </w:r>
      <w:r w:rsidR="00843541" w:rsidRPr="00907560">
        <w:rPr>
          <w:rFonts w:ascii="Times New Roman" w:hAnsi="Times New Roman" w:cs="Times New Roman"/>
          <w:b/>
          <w:bCs/>
          <w:sz w:val="32"/>
          <w:szCs w:val="32"/>
        </w:rPr>
        <w:t xml:space="preserve">Dosimetry assessment </w:t>
      </w:r>
    </w:p>
    <w:p w14:paraId="02C7DABB" w14:textId="77777777" w:rsidR="00843541" w:rsidRPr="003C284B" w:rsidRDefault="00843541" w:rsidP="00843541">
      <w:pPr>
        <w:spacing w:before="100" w:beforeAutospacing="1" w:after="100" w:afterAutospacing="1" w:line="240" w:lineRule="auto"/>
        <w:jc w:val="center"/>
        <w:rPr>
          <w:rFonts w:ascii="Times New Roman" w:hAnsi="Times New Roman" w:cs="Times New Roman"/>
          <w:b/>
          <w:bCs/>
          <w:sz w:val="24"/>
          <w:szCs w:val="24"/>
        </w:rPr>
      </w:pPr>
      <w:bookmarkStart w:id="0" w:name="_GoBack"/>
      <w:r w:rsidRPr="003C284B">
        <w:rPr>
          <w:rFonts w:ascii="Times New Roman" w:hAnsi="Times New Roman" w:cs="Times New Roman"/>
          <w:b/>
          <w:bCs/>
          <w:sz w:val="24"/>
          <w:szCs w:val="24"/>
        </w:rPr>
        <w:t>Hesham M.H. Zakaly</w:t>
      </w:r>
      <w:r w:rsidRPr="003C284B">
        <w:rPr>
          <w:rFonts w:ascii="Times New Roman" w:hAnsi="Times New Roman" w:cs="Times New Roman"/>
          <w:b/>
          <w:bCs/>
          <w:sz w:val="24"/>
          <w:szCs w:val="24"/>
          <w:vertAlign w:val="superscript"/>
        </w:rPr>
        <w:t>1.3</w:t>
      </w:r>
      <w:r w:rsidRPr="003C284B">
        <w:rPr>
          <w:rFonts w:ascii="Times New Roman" w:hAnsi="Times New Roman" w:cs="Times New Roman"/>
          <w:b/>
          <w:bCs/>
          <w:sz w:val="24"/>
          <w:szCs w:val="24"/>
        </w:rPr>
        <w:t>, M. Y.A. Mostafa</w:t>
      </w:r>
      <w:r w:rsidRPr="003C284B">
        <w:rPr>
          <w:rFonts w:ascii="Times New Roman" w:hAnsi="Times New Roman" w:cs="Times New Roman"/>
          <w:b/>
          <w:bCs/>
          <w:sz w:val="24"/>
          <w:szCs w:val="24"/>
          <w:vertAlign w:val="superscript"/>
        </w:rPr>
        <w:t>1,4</w:t>
      </w:r>
      <w:r w:rsidRPr="003C284B">
        <w:rPr>
          <w:rFonts w:ascii="Times New Roman" w:hAnsi="Times New Roman" w:cs="Times New Roman"/>
          <w:b/>
          <w:bCs/>
          <w:sz w:val="24"/>
          <w:szCs w:val="24"/>
        </w:rPr>
        <w:t>, M. Zhukovsky</w:t>
      </w:r>
      <w:r w:rsidRPr="003C284B">
        <w:rPr>
          <w:rFonts w:ascii="Times New Roman" w:hAnsi="Times New Roman" w:cs="Times New Roman"/>
          <w:b/>
          <w:bCs/>
          <w:sz w:val="24"/>
          <w:szCs w:val="24"/>
          <w:vertAlign w:val="superscript"/>
        </w:rPr>
        <w:t>1</w:t>
      </w:r>
      <w:bookmarkEnd w:id="0"/>
      <w:r w:rsidRPr="003C284B">
        <w:rPr>
          <w:rFonts w:ascii="Times New Roman" w:hAnsi="Times New Roman" w:cs="Times New Roman"/>
          <w:b/>
          <w:bCs/>
          <w:sz w:val="24"/>
          <w:szCs w:val="24"/>
          <w:vertAlign w:val="superscript"/>
        </w:rPr>
        <w:t>.2</w:t>
      </w:r>
    </w:p>
    <w:p w14:paraId="481EDB13" w14:textId="77777777" w:rsidR="00843541" w:rsidRPr="003C284B" w:rsidRDefault="00843541" w:rsidP="00896868">
      <w:pPr>
        <w:pStyle w:val="Affiliation"/>
        <w:spacing w:before="100" w:beforeAutospacing="1" w:after="100" w:afterAutospacing="1"/>
        <w:rPr>
          <w:rFonts w:ascii="Times New Roman" w:hAnsi="Times New Roman"/>
          <w:sz w:val="20"/>
        </w:rPr>
      </w:pPr>
      <w:r w:rsidRPr="003C284B">
        <w:rPr>
          <w:rFonts w:ascii="Times New Roman" w:hAnsi="Times New Roman"/>
          <w:sz w:val="20"/>
          <w:vertAlign w:val="superscript"/>
        </w:rPr>
        <w:t>1</w:t>
      </w:r>
      <w:r w:rsidRPr="003C284B">
        <w:rPr>
          <w:rFonts w:ascii="Times New Roman" w:hAnsi="Times New Roman"/>
          <w:sz w:val="20"/>
        </w:rPr>
        <w:t>Department of Experimental Physics, Institute of Physics and Technology, Ural Federal University, Yekaterinburg 620002, Russia</w:t>
      </w:r>
    </w:p>
    <w:p w14:paraId="62C74903" w14:textId="63E885BA" w:rsidR="00843541" w:rsidRPr="003C284B" w:rsidRDefault="00843541" w:rsidP="00896868">
      <w:pPr>
        <w:pStyle w:val="Affiliation"/>
        <w:spacing w:before="100" w:beforeAutospacing="1" w:after="100" w:afterAutospacing="1"/>
        <w:rPr>
          <w:rFonts w:ascii="Times New Roman" w:hAnsi="Times New Roman"/>
          <w:sz w:val="20"/>
        </w:rPr>
      </w:pPr>
      <w:r w:rsidRPr="003C284B">
        <w:rPr>
          <w:rFonts w:ascii="Times New Roman" w:hAnsi="Times New Roman"/>
          <w:sz w:val="20"/>
          <w:vertAlign w:val="superscript"/>
        </w:rPr>
        <w:t>2</w:t>
      </w:r>
      <w:r w:rsidRPr="003C284B">
        <w:rPr>
          <w:rFonts w:ascii="Times New Roman" w:hAnsi="Times New Roman"/>
          <w:sz w:val="20"/>
        </w:rPr>
        <w:t xml:space="preserve">Institute of Industrial </w:t>
      </w:r>
      <w:r>
        <w:rPr>
          <w:rFonts w:ascii="Times New Roman" w:hAnsi="Times New Roman"/>
          <w:sz w:val="20"/>
        </w:rPr>
        <w:t>E</w:t>
      </w:r>
      <w:r w:rsidRPr="003C284B">
        <w:rPr>
          <w:rFonts w:ascii="Times New Roman" w:hAnsi="Times New Roman"/>
          <w:sz w:val="20"/>
        </w:rPr>
        <w:t xml:space="preserve">cology UB RAS, 620990, </w:t>
      </w:r>
      <w:proofErr w:type="spellStart"/>
      <w:r w:rsidRPr="003C284B">
        <w:rPr>
          <w:rFonts w:ascii="Times New Roman" w:hAnsi="Times New Roman"/>
          <w:sz w:val="20"/>
        </w:rPr>
        <w:t>Sophy</w:t>
      </w:r>
      <w:proofErr w:type="spellEnd"/>
      <w:r w:rsidRPr="003C284B">
        <w:rPr>
          <w:rFonts w:ascii="Times New Roman" w:hAnsi="Times New Roman"/>
          <w:sz w:val="20"/>
        </w:rPr>
        <w:t xml:space="preserve"> </w:t>
      </w:r>
      <w:proofErr w:type="spellStart"/>
      <w:r w:rsidRPr="003C284B">
        <w:rPr>
          <w:rFonts w:ascii="Times New Roman" w:hAnsi="Times New Roman"/>
          <w:sz w:val="20"/>
        </w:rPr>
        <w:t>Kovalevskoy</w:t>
      </w:r>
      <w:proofErr w:type="spellEnd"/>
      <w:r w:rsidRPr="003C284B">
        <w:rPr>
          <w:rFonts w:ascii="Times New Roman" w:hAnsi="Times New Roman"/>
          <w:sz w:val="20"/>
        </w:rPr>
        <w:t xml:space="preserve"> St., 20, Ekaterinburg, Russia</w:t>
      </w:r>
    </w:p>
    <w:p w14:paraId="1248D228" w14:textId="6A5F2A67" w:rsidR="00843541" w:rsidRPr="003C284B" w:rsidRDefault="00843541" w:rsidP="00896868">
      <w:pPr>
        <w:pStyle w:val="Affiliation"/>
        <w:keepLines/>
        <w:spacing w:before="100" w:beforeAutospacing="1" w:after="100" w:afterAutospacing="1"/>
        <w:rPr>
          <w:rFonts w:ascii="Times New Roman" w:hAnsi="Times New Roman"/>
          <w:sz w:val="20"/>
        </w:rPr>
      </w:pPr>
      <w:r w:rsidRPr="003C284B">
        <w:rPr>
          <w:rFonts w:ascii="Times New Roman" w:hAnsi="Times New Roman"/>
          <w:sz w:val="20"/>
          <w:vertAlign w:val="superscript"/>
        </w:rPr>
        <w:t>3</w:t>
      </w:r>
      <w:r w:rsidRPr="003C284B">
        <w:rPr>
          <w:rFonts w:ascii="Times New Roman" w:hAnsi="Times New Roman"/>
          <w:sz w:val="20"/>
        </w:rPr>
        <w:t>Physics Department, Faculty of Science, Al-</w:t>
      </w:r>
      <w:proofErr w:type="spellStart"/>
      <w:r w:rsidRPr="003C284B">
        <w:rPr>
          <w:rFonts w:ascii="Times New Roman" w:hAnsi="Times New Roman"/>
          <w:sz w:val="20"/>
        </w:rPr>
        <w:t>Azhar</w:t>
      </w:r>
      <w:proofErr w:type="spellEnd"/>
      <w:r w:rsidRPr="003C284B">
        <w:rPr>
          <w:rFonts w:ascii="Times New Roman" w:hAnsi="Times New Roman"/>
          <w:sz w:val="20"/>
        </w:rPr>
        <w:t xml:space="preserve"> University, </w:t>
      </w:r>
      <w:proofErr w:type="spellStart"/>
      <w:r w:rsidRPr="003C284B">
        <w:rPr>
          <w:rFonts w:ascii="Times New Roman" w:hAnsi="Times New Roman"/>
          <w:sz w:val="20"/>
        </w:rPr>
        <w:t>Assuit</w:t>
      </w:r>
      <w:proofErr w:type="spellEnd"/>
      <w:r w:rsidRPr="003C284B">
        <w:rPr>
          <w:rFonts w:ascii="Times New Roman" w:hAnsi="Times New Roman"/>
          <w:sz w:val="20"/>
        </w:rPr>
        <w:t xml:space="preserve"> Branch, 71524 </w:t>
      </w:r>
      <w:proofErr w:type="spellStart"/>
      <w:r w:rsidRPr="003C284B">
        <w:rPr>
          <w:rFonts w:ascii="Times New Roman" w:hAnsi="Times New Roman"/>
          <w:sz w:val="20"/>
        </w:rPr>
        <w:t>Assuit</w:t>
      </w:r>
      <w:proofErr w:type="spellEnd"/>
      <w:r w:rsidRPr="003C284B">
        <w:rPr>
          <w:rFonts w:ascii="Times New Roman" w:hAnsi="Times New Roman"/>
          <w:sz w:val="20"/>
        </w:rPr>
        <w:t>, Egypt</w:t>
      </w:r>
    </w:p>
    <w:p w14:paraId="0EB308C0" w14:textId="77777777" w:rsidR="00843541" w:rsidRPr="003C284B" w:rsidRDefault="00843541" w:rsidP="00896868">
      <w:pPr>
        <w:pStyle w:val="Affiliation"/>
        <w:keepLines/>
        <w:spacing w:before="100" w:beforeAutospacing="1" w:after="100" w:afterAutospacing="1"/>
        <w:rPr>
          <w:rFonts w:ascii="Times New Roman" w:hAnsi="Times New Roman"/>
          <w:sz w:val="20"/>
        </w:rPr>
      </w:pPr>
      <w:r w:rsidRPr="003C284B">
        <w:rPr>
          <w:rFonts w:ascii="Times New Roman" w:hAnsi="Times New Roman"/>
          <w:sz w:val="20"/>
          <w:vertAlign w:val="superscript"/>
        </w:rPr>
        <w:t>4</w:t>
      </w:r>
      <w:r w:rsidRPr="003C284B">
        <w:rPr>
          <w:rFonts w:ascii="Times New Roman" w:hAnsi="Times New Roman"/>
          <w:sz w:val="20"/>
        </w:rPr>
        <w:t xml:space="preserve">Minia University, </w:t>
      </w:r>
      <w:r>
        <w:rPr>
          <w:rFonts w:ascii="Times New Roman" w:hAnsi="Times New Roman"/>
          <w:sz w:val="20"/>
        </w:rPr>
        <w:t>F</w:t>
      </w:r>
      <w:r w:rsidRPr="003C284B">
        <w:rPr>
          <w:rFonts w:ascii="Times New Roman" w:hAnsi="Times New Roman"/>
          <w:sz w:val="20"/>
        </w:rPr>
        <w:t>aculty of Science, Department of Physics, El-</w:t>
      </w:r>
      <w:proofErr w:type="spellStart"/>
      <w:r w:rsidRPr="003C284B">
        <w:rPr>
          <w:rFonts w:ascii="Times New Roman" w:hAnsi="Times New Roman"/>
          <w:sz w:val="20"/>
        </w:rPr>
        <w:t>Minia</w:t>
      </w:r>
      <w:proofErr w:type="spellEnd"/>
      <w:r w:rsidRPr="003C284B">
        <w:rPr>
          <w:rFonts w:ascii="Times New Roman" w:hAnsi="Times New Roman"/>
          <w:sz w:val="20"/>
        </w:rPr>
        <w:t>, Egypt</w:t>
      </w:r>
    </w:p>
    <w:p w14:paraId="0563546B" w14:textId="68489FB0" w:rsidR="00843541" w:rsidRPr="00843541" w:rsidRDefault="00843541" w:rsidP="00843541">
      <w:pPr>
        <w:spacing w:after="0" w:line="480" w:lineRule="auto"/>
        <w:rPr>
          <w:rFonts w:ascii="Times New Roman" w:hAnsi="Times New Roman"/>
          <w:u w:val="single"/>
        </w:rPr>
      </w:pPr>
      <w:r w:rsidRPr="003C284B">
        <w:rPr>
          <w:rFonts w:ascii="Times New Roman" w:hAnsi="Times New Roman"/>
          <w:sz w:val="20"/>
        </w:rPr>
        <w:t>E</w:t>
      </w:r>
      <w:r w:rsidRPr="003C284B">
        <w:rPr>
          <w:rFonts w:ascii="Times New Roman" w:hAnsi="Times New Roman"/>
        </w:rPr>
        <w:t>mail:</w:t>
      </w:r>
      <w:r w:rsidRPr="003C284B">
        <w:rPr>
          <w:rFonts w:ascii="Segoe UI" w:hAnsi="Segoe UI" w:cs="Segoe UI"/>
          <w:color w:val="0072C6"/>
        </w:rPr>
        <w:t xml:space="preserve"> </w:t>
      </w:r>
      <w:hyperlink r:id="rId5" w:history="1">
        <w:r w:rsidRPr="003C284B">
          <w:rPr>
            <w:rStyle w:val="Hyperlink"/>
            <w:rFonts w:ascii="Times New Roman" w:eastAsia="Times New Roman" w:hAnsi="Times New Roman" w:cs="Times New Roman"/>
          </w:rPr>
          <w:t>h.m.zakaly@azhar.edu.eg</w:t>
        </w:r>
      </w:hyperlink>
      <w:r w:rsidRPr="003C284B">
        <w:rPr>
          <w:rStyle w:val="Hyperlink"/>
          <w:rFonts w:ascii="Times New Roman" w:hAnsi="Times New Roman"/>
        </w:rPr>
        <w:t xml:space="preserve"> </w:t>
      </w:r>
      <w:r>
        <w:rPr>
          <w:rFonts w:ascii="Times New Roman" w:hAnsi="Times New Roman"/>
        </w:rPr>
        <w:t xml:space="preserve">; </w:t>
      </w:r>
      <w:hyperlink r:id="rId6" w:history="1">
        <w:r w:rsidRPr="00843541">
          <w:rPr>
            <w:rStyle w:val="Hyperlink"/>
            <w:rFonts w:ascii="Times New Roman" w:eastAsia="Times New Roman" w:hAnsi="Times New Roman" w:cs="Times New Roman"/>
          </w:rPr>
          <w:t>h.m.zakaly@gmail.com</w:t>
        </w:r>
      </w:hyperlink>
    </w:p>
    <w:p w14:paraId="4EAA35DB" w14:textId="15A77988" w:rsidR="00843541" w:rsidRPr="0049498A" w:rsidRDefault="0075059E" w:rsidP="0075059E">
      <w:pPr>
        <w:pStyle w:val="NormalWeb"/>
        <w:jc w:val="both"/>
        <w:rPr>
          <w:rFonts w:asciiTheme="majorBidi" w:hAnsiTheme="majorBidi" w:cstheme="majorBidi"/>
          <w:sz w:val="12"/>
          <w:szCs w:val="12"/>
        </w:rPr>
      </w:pPr>
      <w:r w:rsidRPr="0075059E">
        <w:rPr>
          <w:rFonts w:asciiTheme="majorBidi" w:hAnsiTheme="majorBidi" w:cstheme="majorBidi"/>
          <w:b/>
          <w:bCs/>
          <w:lang w:val="en-US"/>
        </w:rPr>
        <w:t>Background</w:t>
      </w:r>
      <w:r>
        <w:rPr>
          <w:rFonts w:ascii="Arial" w:hAnsi="Arial" w:cs="Arial"/>
          <w:color w:val="6D6E72"/>
          <w:shd w:val="clear" w:color="auto" w:fill="FFFFFF"/>
        </w:rPr>
        <w:t xml:space="preserve">: </w:t>
      </w:r>
      <w:r w:rsidR="002D248C">
        <w:rPr>
          <w:rFonts w:asciiTheme="majorBidi" w:hAnsiTheme="majorBidi" w:cstheme="majorBidi"/>
          <w:lang w:val="en-US"/>
        </w:rPr>
        <w:t xml:space="preserve">In this work, </w:t>
      </w:r>
      <w:r w:rsidR="002D248C" w:rsidRPr="00627989">
        <w:rPr>
          <w:rFonts w:asciiTheme="majorBidi" w:hAnsiTheme="majorBidi" w:cstheme="majorBidi"/>
          <w:lang w:val="en-US"/>
        </w:rPr>
        <w:t>IDAC-Dose2.1</w:t>
      </w:r>
      <w:r w:rsidR="002D248C">
        <w:rPr>
          <w:rFonts w:asciiTheme="majorBidi" w:hAnsiTheme="majorBidi" w:cstheme="majorBidi"/>
          <w:lang w:val="en-US"/>
        </w:rPr>
        <w:t xml:space="preserve"> software and </w:t>
      </w:r>
      <w:r w:rsidR="002D248C" w:rsidRPr="00D86A99">
        <w:rPr>
          <w:rFonts w:asciiTheme="majorBidi" w:hAnsiTheme="majorBidi" w:cstheme="majorBidi"/>
        </w:rPr>
        <w:t xml:space="preserve">OLINDA personal computer code </w:t>
      </w:r>
      <w:r w:rsidR="002D248C">
        <w:rPr>
          <w:rFonts w:asciiTheme="majorBidi" w:hAnsiTheme="majorBidi" w:cstheme="majorBidi"/>
        </w:rPr>
        <w:t xml:space="preserve">are in comparison as they are considered the wide used programs in internal dose </w:t>
      </w:r>
      <w:r w:rsidR="002D248C" w:rsidRPr="00627989">
        <w:rPr>
          <w:rFonts w:asciiTheme="majorBidi" w:hAnsiTheme="majorBidi" w:cstheme="majorBidi"/>
          <w:lang w:val="en-US"/>
        </w:rPr>
        <w:t>assessment</w:t>
      </w:r>
      <w:r w:rsidR="002D248C">
        <w:rPr>
          <w:rFonts w:asciiTheme="majorBidi" w:hAnsiTheme="majorBidi" w:cstheme="majorBidi"/>
        </w:rPr>
        <w:t xml:space="preserve">. </w:t>
      </w:r>
      <w:r w:rsidR="00843541" w:rsidRPr="00627989">
        <w:rPr>
          <w:rFonts w:asciiTheme="majorBidi" w:hAnsiTheme="majorBidi" w:cstheme="majorBidi"/>
          <w:lang w:val="en-US"/>
        </w:rPr>
        <w:t>IDAC-Dose2.1, was developed based on the ICRP specific absorbed fractions and computational framework of internal dose assessment given for reference adults in ICRP Publication 133. The program uses the radionuclide decay database of ICRP Publication 107 and considers 83 different source regions irradiating 47 target tissues, defining the effective dose as presented in ICRP Publications 60 and 103.</w:t>
      </w:r>
      <w:r w:rsidR="002D248C">
        <w:rPr>
          <w:rFonts w:asciiTheme="majorBidi" w:hAnsiTheme="majorBidi" w:cstheme="majorBidi"/>
          <w:lang w:val="en-US"/>
        </w:rPr>
        <w:t xml:space="preserve"> </w:t>
      </w:r>
      <w:r w:rsidR="00843541" w:rsidRPr="00627989">
        <w:rPr>
          <w:rFonts w:asciiTheme="majorBidi" w:hAnsiTheme="majorBidi" w:cstheme="majorBidi"/>
          <w:lang w:val="en-US"/>
        </w:rPr>
        <w:t xml:space="preserve">IDAC </w:t>
      </w:r>
      <w:r w:rsidR="002D248C">
        <w:rPr>
          <w:rFonts w:asciiTheme="majorBidi" w:hAnsiTheme="majorBidi" w:cstheme="majorBidi"/>
          <w:lang w:val="en-US"/>
        </w:rPr>
        <w:t>uses</w:t>
      </w:r>
      <w:r w:rsidR="00843541" w:rsidRPr="00627989">
        <w:rPr>
          <w:rFonts w:asciiTheme="majorBidi" w:hAnsiTheme="majorBidi" w:cstheme="majorBidi"/>
          <w:lang w:val="en-US"/>
        </w:rPr>
        <w:t xml:space="preserve"> cumulated </w:t>
      </w:r>
      <w:r w:rsidR="002D248C" w:rsidRPr="00627989">
        <w:rPr>
          <w:rFonts w:asciiTheme="majorBidi" w:hAnsiTheme="majorBidi" w:cstheme="majorBidi"/>
          <w:lang w:val="en-US"/>
        </w:rPr>
        <w:t>activities per</w:t>
      </w:r>
      <w:r w:rsidR="00843541" w:rsidRPr="00627989">
        <w:rPr>
          <w:rFonts w:asciiTheme="majorBidi" w:hAnsiTheme="majorBidi" w:cstheme="majorBidi"/>
          <w:lang w:val="en-US"/>
        </w:rPr>
        <w:t xml:space="preserve"> administered activity in hours and calculates the absorbed dose and the effective dose. </w:t>
      </w:r>
      <w:r w:rsidR="002D248C">
        <w:rPr>
          <w:rFonts w:asciiTheme="majorBidi" w:hAnsiTheme="majorBidi" w:cstheme="majorBidi"/>
          <w:lang w:val="en-US"/>
        </w:rPr>
        <w:t xml:space="preserve">It </w:t>
      </w:r>
      <w:r w:rsidR="002D248C" w:rsidRPr="00627989">
        <w:rPr>
          <w:rFonts w:asciiTheme="majorBidi" w:hAnsiTheme="majorBidi" w:cstheme="majorBidi"/>
          <w:lang w:val="en-US"/>
        </w:rPr>
        <w:t>has</w:t>
      </w:r>
      <w:r w:rsidR="00843541" w:rsidRPr="00627989">
        <w:rPr>
          <w:rFonts w:asciiTheme="majorBidi" w:hAnsiTheme="majorBidi" w:cstheme="majorBidi"/>
          <w:lang w:val="en-US"/>
        </w:rPr>
        <w:t xml:space="preserve"> the possibility to calculate the absorbed dose from 1252 different radionuclides of 97 elements. The program bases the dose estimations on the </w:t>
      </w:r>
      <w:proofErr w:type="spellStart"/>
      <w:r w:rsidR="00843541" w:rsidRPr="00627989">
        <w:rPr>
          <w:rFonts w:asciiTheme="majorBidi" w:hAnsiTheme="majorBidi" w:cstheme="majorBidi"/>
          <w:lang w:val="en-US"/>
        </w:rPr>
        <w:t>Cristy</w:t>
      </w:r>
      <w:proofErr w:type="spellEnd"/>
      <w:r w:rsidR="00843541" w:rsidRPr="00627989">
        <w:rPr>
          <w:rFonts w:asciiTheme="majorBidi" w:hAnsiTheme="majorBidi" w:cstheme="majorBidi"/>
          <w:lang w:val="en-US"/>
        </w:rPr>
        <w:t xml:space="preserve"> </w:t>
      </w:r>
      <w:proofErr w:type="spellStart"/>
      <w:r w:rsidR="00843541" w:rsidRPr="00627989">
        <w:rPr>
          <w:rFonts w:asciiTheme="majorBidi" w:hAnsiTheme="majorBidi" w:cstheme="majorBidi"/>
          <w:lang w:val="en-US"/>
        </w:rPr>
        <w:t>Eckerman</w:t>
      </w:r>
      <w:proofErr w:type="spellEnd"/>
      <w:r w:rsidR="00843541" w:rsidRPr="00627989">
        <w:rPr>
          <w:rFonts w:asciiTheme="majorBidi" w:hAnsiTheme="majorBidi" w:cstheme="majorBidi"/>
          <w:lang w:val="en-US"/>
        </w:rPr>
        <w:t xml:space="preserve"> stylized family phantoms </w:t>
      </w:r>
      <w:r w:rsidR="00843541" w:rsidRPr="00627989">
        <w:rPr>
          <w:rFonts w:asciiTheme="majorBidi" w:hAnsiTheme="majorBidi" w:cstheme="majorBidi"/>
          <w:lang w:val="en-US"/>
        </w:rPr>
        <w:fldChar w:fldCharType="begin" w:fldLock="1"/>
      </w:r>
      <w:r w:rsidR="00843541" w:rsidRPr="00627989">
        <w:rPr>
          <w:rFonts w:asciiTheme="majorBidi" w:hAnsiTheme="majorBidi" w:cstheme="majorBidi"/>
          <w:lang w:val="en-US"/>
        </w:rPr>
        <w:instrText>ADDIN CSL_CITATION {"citationItems":[{"id":"ITEM-1","itemData":{"DOI":"10.1186/s13550-017-0339-3","ISSN":"2191219X","PMID":"29098485","abstract":"BACKGROUND To date, the estimated radiation-absorbed dose to organs and tissues in patients undergoing diagnostic examinations in nuclear medicine is derived via calculations based on models of the human body and the biokinetic behaviour of the radiopharmaceutical. An internal dosimetry computer program, IDAC-Dose2.1, was developed based on the International Commission on Radiological Protection (ICRP)-specific absorbed fractions and computational framework of internal dose assessment given for reference adults in ICRP Publication 133. The program uses the radionuclide decay database of ICRP Publication 107 and considers 83 different source regions irradiating 47 target tissues, defining the effective dose as presented in ICRP Publications 60 and 103. The computer program was validated against another ICRP dosimetry program, Dose and Risk Calculation (DCAL), that employs the same computational framework in evaluation of occupational and environmental intakes of radionuclides. IDAC-Dose2.1 has a sub-module for absorbed dose calculations in spherical structures of different volumes and composition; this sub-module is intended for absorbed dose estimates in radiopharmaceutical therapy. For nine specific alpha emitters, the absorbed dose contribution from their decay products is also included in the committed absorbed dose calculations. RESULTS The absorbed doses and effective dose of131I-iodide determined by IDAC-Dose2.1 were validated against the dosimetry program DCAL, showing identical results. IDAC-Dose2.1 was used to calculate absorbed doses for intravenously administered18F-FDG and orally administered99mTc-pertechnetate and131I-iodide, three frequently used radiopharmaceuticals. Using the tissue weighting factors from ICRP Publication 103, the effective dose per administered activity was estimated to be 0.016 mSv/MBq for18F-FDG, 0.014 mSv/MBq for99mTc-pertechnetate, and 16 mSv/MBq for131I-iodide. CONCLUSIONS The internal dosimetry program IDAC-Dose2.1 was developed and applied to three radiopharmaceuticals for validation against DCAL and to generate improved absorbed dose estimations for diagnostic nuclear medicine using specific absorbed fraction values of the ICRP computational voxel phantoms. The sub-module for absorbed dose calculations in spherical structures 1 mm to 9 cm in diameter and different tissue composition was included to broaden the clinical usefulness of the program. The IDAC-Dose2.1 program is free software for research and availabl…","author":[{"dropping-particle":"","family":"Andersson","given":"Martin","non-dropping-particle":"","parse-names":false,"suffix":""},{"dropping-particle":"","family":"Johansson","given":"Lennart","non-dropping-particle":"","parse-names":false,"suffix":""},{"dropping-particle":"","family":"Eckerman","given":"Keith","non-dropping-particle":"","parse-names":false,"suffix":""},{"dropping-particle":"","family":"Mattsson","given":"Sören","non-dropping-particle":"","parse-names":false,"suffix":""}],"container-title":"EJNMMI Research","id":"ITEM-1","issued":{"date-parts":[["2017"]]},"page":"1-10","publisher":"EJNMMI Research","title":"IDAC-Dose 2.1, an internal dosimetry program for diagnostic nuclear medicine based on the ICRP adult reference voxel phantoms","type":"article-journal","volume":"7"},"uris":["http://www.mendeley.com/documents/?uuid=10b98830-408e-49ca-9821-419c36723dea"]}],"mendeley":{"formattedCitation":"[20]","plainTextFormattedCitation":"[20]","previouslyFormattedCitation":"[20]"},"properties":{"noteIndex":0},"schema":"https://github.com/citation-style-language/schema/raw/master/csl-citation.json"}</w:instrText>
      </w:r>
      <w:r w:rsidR="00843541" w:rsidRPr="00627989">
        <w:rPr>
          <w:rFonts w:asciiTheme="majorBidi" w:hAnsiTheme="majorBidi" w:cstheme="majorBidi"/>
          <w:lang w:val="en-US"/>
        </w:rPr>
        <w:fldChar w:fldCharType="separate"/>
      </w:r>
      <w:r w:rsidR="00843541" w:rsidRPr="00627989">
        <w:rPr>
          <w:rFonts w:asciiTheme="majorBidi" w:hAnsiTheme="majorBidi" w:cstheme="majorBidi"/>
          <w:lang w:val="en-US"/>
        </w:rPr>
        <w:t>[</w:t>
      </w:r>
      <w:r w:rsidR="007136AD">
        <w:rPr>
          <w:rFonts w:asciiTheme="majorBidi" w:hAnsiTheme="majorBidi" w:cstheme="majorBidi"/>
          <w:lang w:val="en-US"/>
        </w:rPr>
        <w:t>1</w:t>
      </w:r>
      <w:r w:rsidR="00843541" w:rsidRPr="00627989">
        <w:rPr>
          <w:rFonts w:asciiTheme="majorBidi" w:hAnsiTheme="majorBidi" w:cstheme="majorBidi"/>
          <w:lang w:val="en-US"/>
        </w:rPr>
        <w:t>]</w:t>
      </w:r>
      <w:r w:rsidR="00843541" w:rsidRPr="00627989">
        <w:rPr>
          <w:rFonts w:asciiTheme="majorBidi" w:hAnsiTheme="majorBidi" w:cstheme="majorBidi"/>
          <w:lang w:val="en-US"/>
        </w:rPr>
        <w:fldChar w:fldCharType="end"/>
      </w:r>
      <w:r w:rsidR="00843541" w:rsidRPr="00627989">
        <w:rPr>
          <w:rFonts w:asciiTheme="majorBidi" w:hAnsiTheme="majorBidi" w:cstheme="majorBidi"/>
          <w:lang w:val="en-US"/>
        </w:rPr>
        <w:t>.</w:t>
      </w:r>
      <w:r w:rsidR="002D248C">
        <w:rPr>
          <w:rFonts w:asciiTheme="majorBidi" w:hAnsiTheme="majorBidi" w:cstheme="majorBidi"/>
          <w:lang w:val="en-US"/>
        </w:rPr>
        <w:t xml:space="preserve">  </w:t>
      </w:r>
      <w:r w:rsidR="00843541" w:rsidRPr="00D86A99">
        <w:rPr>
          <w:rFonts w:asciiTheme="majorBidi" w:hAnsiTheme="majorBidi" w:cstheme="majorBidi"/>
        </w:rPr>
        <w:t>The OLINDA personal computer code was created as a replacement for the widely used MIRDOSE</w:t>
      </w:r>
      <w:r w:rsidR="00843541">
        <w:rPr>
          <w:rFonts w:asciiTheme="majorBidi" w:hAnsiTheme="majorBidi" w:cstheme="majorBidi"/>
        </w:rPr>
        <w:t xml:space="preserve"> </w:t>
      </w:r>
      <w:r w:rsidR="00843541" w:rsidRPr="00D86A99">
        <w:rPr>
          <w:rFonts w:asciiTheme="majorBidi" w:hAnsiTheme="majorBidi" w:cstheme="majorBidi"/>
        </w:rPr>
        <w:t xml:space="preserve">3.1 code. </w:t>
      </w:r>
      <w:r w:rsidR="002D248C">
        <w:rPr>
          <w:rFonts w:asciiTheme="majorBidi" w:hAnsiTheme="majorBidi" w:cstheme="majorBidi"/>
        </w:rPr>
        <w:t xml:space="preserve">It </w:t>
      </w:r>
      <w:r w:rsidR="00843541" w:rsidRPr="00D86A99">
        <w:rPr>
          <w:rFonts w:asciiTheme="majorBidi" w:hAnsiTheme="majorBidi" w:cstheme="majorBidi"/>
        </w:rPr>
        <w:t>is useful in standardizing and automating internal dose calculations, assessing doses in clinical trials with radiopharmaceuticals, making theoretic calculations for existing pharmaceuticals, teaching, and other purposes</w:t>
      </w:r>
      <w:r w:rsidR="002D248C">
        <w:rPr>
          <w:rFonts w:asciiTheme="majorBidi" w:hAnsiTheme="majorBidi" w:cstheme="majorBidi"/>
        </w:rPr>
        <w:t xml:space="preserve"> [2].</w:t>
      </w:r>
      <w:r w:rsidR="00841C17">
        <w:rPr>
          <w:rFonts w:asciiTheme="majorBidi" w:hAnsiTheme="majorBidi" w:cstheme="majorBidi"/>
        </w:rPr>
        <w:t xml:space="preserve"> </w:t>
      </w:r>
    </w:p>
    <w:p w14:paraId="07E0B09F" w14:textId="77777777" w:rsidR="0075059E" w:rsidRPr="0049498A" w:rsidRDefault="0075059E" w:rsidP="0075059E">
      <w:pPr>
        <w:jc w:val="both"/>
        <w:rPr>
          <w:rFonts w:asciiTheme="majorBidi" w:hAnsiTheme="majorBidi" w:cstheme="majorBidi"/>
          <w:color w:val="000000"/>
          <w:sz w:val="10"/>
          <w:szCs w:val="10"/>
          <w:lang w:val="en-US"/>
        </w:rPr>
      </w:pPr>
      <w:r w:rsidRPr="0075059E">
        <w:rPr>
          <w:rFonts w:asciiTheme="majorBidi" w:hAnsiTheme="majorBidi" w:cstheme="majorBidi"/>
          <w:b/>
          <w:bCs/>
          <w:sz w:val="24"/>
          <w:szCs w:val="24"/>
        </w:rPr>
        <w:t>Aim</w:t>
      </w:r>
      <w:r>
        <w:rPr>
          <w:rFonts w:asciiTheme="majorBidi" w:hAnsiTheme="majorBidi" w:cstheme="majorBidi"/>
          <w:b/>
          <w:bCs/>
          <w:sz w:val="24"/>
          <w:szCs w:val="24"/>
        </w:rPr>
        <w:t xml:space="preserve"> and </w:t>
      </w:r>
      <w:r w:rsidRPr="0075059E">
        <w:rPr>
          <w:rFonts w:asciiTheme="majorBidi" w:hAnsiTheme="majorBidi" w:cstheme="majorBidi"/>
          <w:b/>
          <w:bCs/>
          <w:sz w:val="24"/>
          <w:szCs w:val="24"/>
        </w:rPr>
        <w:t>Methods</w:t>
      </w:r>
      <w:r w:rsidRPr="0075059E">
        <w:rPr>
          <w:rFonts w:asciiTheme="majorBidi" w:hAnsiTheme="majorBidi" w:cstheme="majorBidi"/>
          <w:sz w:val="24"/>
          <w:szCs w:val="24"/>
        </w:rPr>
        <w:t>:</w:t>
      </w:r>
      <w:r>
        <w:rPr>
          <w:rFonts w:asciiTheme="majorBidi" w:hAnsiTheme="majorBidi" w:cstheme="majorBidi"/>
          <w:sz w:val="24"/>
          <w:szCs w:val="24"/>
        </w:rPr>
        <w:t xml:space="preserve"> </w:t>
      </w:r>
      <w:r w:rsidR="00841C17" w:rsidRPr="0075059E">
        <w:rPr>
          <w:rFonts w:asciiTheme="majorBidi" w:hAnsiTheme="majorBidi" w:cstheme="majorBidi"/>
          <w:sz w:val="24"/>
          <w:szCs w:val="24"/>
        </w:rPr>
        <w:t xml:space="preserve">To </w:t>
      </w:r>
      <w:r w:rsidR="00907560" w:rsidRPr="0075059E">
        <w:rPr>
          <w:rFonts w:asciiTheme="majorBidi" w:hAnsiTheme="majorBidi" w:cstheme="majorBidi"/>
          <w:sz w:val="24"/>
          <w:szCs w:val="24"/>
        </w:rPr>
        <w:t>produce</w:t>
      </w:r>
      <w:r w:rsidR="00841C17" w:rsidRPr="0075059E">
        <w:rPr>
          <w:rFonts w:asciiTheme="majorBidi" w:hAnsiTheme="majorBidi" w:cstheme="majorBidi"/>
          <w:sz w:val="24"/>
          <w:szCs w:val="24"/>
        </w:rPr>
        <w:t xml:space="preserve"> a comparison between the two programs, real published results are used beside some additional calculation with </w:t>
      </w:r>
      <w:r w:rsidR="00841C17" w:rsidRPr="0075059E">
        <w:rPr>
          <w:rFonts w:asciiTheme="majorBidi" w:hAnsiTheme="majorBidi" w:cstheme="majorBidi"/>
          <w:sz w:val="24"/>
          <w:szCs w:val="24"/>
          <w:lang w:val="en-US"/>
        </w:rPr>
        <w:t xml:space="preserve">IDAC-Dose2.1 to achieve the comparison </w:t>
      </w:r>
      <w:r w:rsidR="00EA4945" w:rsidRPr="0075059E">
        <w:rPr>
          <w:rFonts w:asciiTheme="majorBidi" w:hAnsiTheme="majorBidi" w:cstheme="majorBidi"/>
          <w:sz w:val="24"/>
          <w:szCs w:val="24"/>
          <w:lang w:val="en-US"/>
        </w:rPr>
        <w:t xml:space="preserve">for </w:t>
      </w:r>
      <w:r w:rsidR="00EA4945" w:rsidRPr="0075059E">
        <w:rPr>
          <w:rFonts w:asciiTheme="majorBidi" w:eastAsia="Times New Roman" w:hAnsiTheme="majorBidi" w:cstheme="majorBidi"/>
          <w:sz w:val="24"/>
          <w:szCs w:val="24"/>
        </w:rPr>
        <w:t>radiopharmaceuticals</w:t>
      </w:r>
      <w:r w:rsidR="00EA4945" w:rsidRPr="0075059E">
        <w:rPr>
          <w:rFonts w:asciiTheme="majorBidi" w:hAnsiTheme="majorBidi" w:cstheme="majorBidi"/>
          <w:sz w:val="24"/>
          <w:szCs w:val="24"/>
        </w:rPr>
        <w:t xml:space="preserve"> labelled with </w:t>
      </w:r>
      <w:r w:rsidR="00EA4945" w:rsidRPr="0075059E">
        <w:rPr>
          <w:rFonts w:asciiTheme="majorBidi" w:hAnsiTheme="majorBidi" w:cstheme="majorBidi"/>
          <w:sz w:val="24"/>
          <w:szCs w:val="24"/>
          <w:vertAlign w:val="superscript"/>
        </w:rPr>
        <w:t>89</w:t>
      </w:r>
      <w:r w:rsidR="00EA4945" w:rsidRPr="0075059E">
        <w:rPr>
          <w:rFonts w:asciiTheme="majorBidi" w:hAnsiTheme="majorBidi" w:cstheme="majorBidi"/>
          <w:sz w:val="24"/>
          <w:szCs w:val="24"/>
        </w:rPr>
        <w:t>Zr</w:t>
      </w:r>
      <w:r w:rsidR="009F332C" w:rsidRPr="0075059E">
        <w:rPr>
          <w:rFonts w:asciiTheme="majorBidi" w:hAnsiTheme="majorBidi" w:cstheme="majorBidi"/>
          <w:sz w:val="24"/>
          <w:szCs w:val="24"/>
        </w:rPr>
        <w:t xml:space="preserve">, </w:t>
      </w:r>
      <w:r w:rsidR="009F332C" w:rsidRPr="0075059E">
        <w:rPr>
          <w:rFonts w:asciiTheme="majorBidi" w:eastAsia="Calibri" w:hAnsiTheme="majorBidi" w:cstheme="majorBidi"/>
          <w:sz w:val="24"/>
          <w:szCs w:val="24"/>
          <w:vertAlign w:val="superscript"/>
          <w:lang w:val="en-US"/>
        </w:rPr>
        <w:t>153</w:t>
      </w:r>
      <w:r w:rsidR="009F332C" w:rsidRPr="0075059E">
        <w:rPr>
          <w:rFonts w:asciiTheme="majorBidi" w:eastAsia="Calibri" w:hAnsiTheme="majorBidi" w:cstheme="majorBidi"/>
          <w:sz w:val="24"/>
          <w:szCs w:val="24"/>
          <w:lang w:val="en-US"/>
        </w:rPr>
        <w:t>Sm</w:t>
      </w:r>
      <w:r w:rsidR="00EA4945" w:rsidRPr="0075059E">
        <w:rPr>
          <w:rFonts w:asciiTheme="majorBidi" w:hAnsiTheme="majorBidi" w:cstheme="majorBidi"/>
          <w:sz w:val="24"/>
          <w:szCs w:val="24"/>
        </w:rPr>
        <w:t xml:space="preserve"> and </w:t>
      </w:r>
      <w:r w:rsidR="00EA4945" w:rsidRPr="0075059E">
        <w:rPr>
          <w:rFonts w:asciiTheme="majorBidi" w:hAnsiTheme="majorBidi" w:cstheme="majorBidi"/>
          <w:sz w:val="24"/>
          <w:szCs w:val="24"/>
          <w:vertAlign w:val="superscript"/>
        </w:rPr>
        <w:t>177</w:t>
      </w:r>
      <w:r w:rsidR="00EA4945" w:rsidRPr="0075059E">
        <w:rPr>
          <w:rFonts w:asciiTheme="majorBidi" w:hAnsiTheme="majorBidi" w:cstheme="majorBidi"/>
          <w:sz w:val="24"/>
          <w:szCs w:val="24"/>
        </w:rPr>
        <w:t xml:space="preserve">Lu radionuclides. </w:t>
      </w:r>
      <w:r w:rsidR="009F332C" w:rsidRPr="0075059E">
        <w:rPr>
          <w:rFonts w:asciiTheme="majorBidi" w:hAnsiTheme="majorBidi" w:cstheme="majorBidi"/>
          <w:sz w:val="24"/>
          <w:szCs w:val="24"/>
        </w:rPr>
        <w:t xml:space="preserve">These radionuclides are consider the future of </w:t>
      </w:r>
      <w:r w:rsidR="009F332C" w:rsidRPr="0075059E">
        <w:rPr>
          <w:rFonts w:asciiTheme="majorBidi" w:eastAsia="Times New Roman" w:hAnsiTheme="majorBidi" w:cstheme="majorBidi"/>
          <w:sz w:val="24"/>
          <w:szCs w:val="24"/>
        </w:rPr>
        <w:t>radiopharmaceuticals</w:t>
      </w:r>
      <w:r w:rsidR="009F332C" w:rsidRPr="0075059E">
        <w:rPr>
          <w:rFonts w:asciiTheme="majorBidi" w:hAnsiTheme="majorBidi" w:cstheme="majorBidi"/>
          <w:sz w:val="24"/>
          <w:szCs w:val="24"/>
        </w:rPr>
        <w:t xml:space="preserve"> treatment. </w:t>
      </w:r>
      <w:r w:rsidR="00AD3146" w:rsidRPr="0075059E">
        <w:rPr>
          <w:rFonts w:asciiTheme="majorBidi" w:hAnsiTheme="majorBidi" w:cstheme="majorBidi"/>
          <w:sz w:val="24"/>
          <w:szCs w:val="24"/>
        </w:rPr>
        <w:t xml:space="preserve">For </w:t>
      </w:r>
      <w:r w:rsidR="00AD3146" w:rsidRPr="0075059E">
        <w:rPr>
          <w:rFonts w:asciiTheme="majorBidi" w:hAnsiTheme="majorBidi" w:cstheme="majorBidi"/>
          <w:sz w:val="24"/>
          <w:szCs w:val="24"/>
          <w:vertAlign w:val="superscript"/>
        </w:rPr>
        <w:t>89</w:t>
      </w:r>
      <w:r w:rsidR="00AD3146" w:rsidRPr="0075059E">
        <w:rPr>
          <w:rFonts w:asciiTheme="majorBidi" w:hAnsiTheme="majorBidi" w:cstheme="majorBidi"/>
          <w:sz w:val="24"/>
          <w:szCs w:val="24"/>
        </w:rPr>
        <w:t xml:space="preserve">Zr, two different ladled carrier </w:t>
      </w:r>
      <w:r w:rsidR="00AD3146" w:rsidRPr="0075059E">
        <w:rPr>
          <w:rFonts w:asciiTheme="majorBidi" w:eastAsia="Times New Roman" w:hAnsiTheme="majorBidi" w:cstheme="majorBidi"/>
          <w:color w:val="000000"/>
          <w:sz w:val="24"/>
          <w:szCs w:val="24"/>
          <w:lang w:val="en-US"/>
        </w:rPr>
        <w:t>Zr-89_cMAb U36</w:t>
      </w:r>
      <w:r w:rsidR="00AD3146" w:rsidRPr="0075059E">
        <w:rPr>
          <w:rFonts w:asciiTheme="majorBidi" w:hAnsiTheme="majorBidi" w:cstheme="majorBidi"/>
          <w:color w:val="000000"/>
          <w:sz w:val="24"/>
          <w:szCs w:val="24"/>
          <w:lang w:val="en-US"/>
        </w:rPr>
        <w:t xml:space="preserve"> and </w:t>
      </w:r>
      <w:r w:rsidR="00AD3146" w:rsidRPr="0075059E">
        <w:rPr>
          <w:rFonts w:asciiTheme="majorBidi" w:eastAsia="Times New Roman" w:hAnsiTheme="majorBidi" w:cstheme="majorBidi"/>
          <w:color w:val="000000"/>
          <w:sz w:val="24"/>
          <w:szCs w:val="24"/>
          <w:lang w:val="en-US"/>
        </w:rPr>
        <w:t>Zr-89 Panitumumab</w:t>
      </w:r>
      <w:r w:rsidR="00AD3146" w:rsidRPr="0075059E">
        <w:rPr>
          <w:rFonts w:asciiTheme="majorBidi" w:hAnsiTheme="majorBidi" w:cstheme="majorBidi"/>
          <w:color w:val="000000"/>
          <w:sz w:val="24"/>
          <w:szCs w:val="24"/>
          <w:lang w:val="en-US"/>
        </w:rPr>
        <w:t xml:space="preserve"> with real clinical patients are used</w:t>
      </w:r>
      <w:r w:rsidR="00AD3146">
        <w:rPr>
          <w:rFonts w:asciiTheme="majorBidi" w:hAnsiTheme="majorBidi" w:cstheme="majorBidi"/>
          <w:color w:val="000000"/>
          <w:lang w:val="en-US"/>
        </w:rPr>
        <w:t xml:space="preserve">. </w:t>
      </w:r>
    </w:p>
    <w:p w14:paraId="72E0FA1B" w14:textId="61F864A1" w:rsidR="007136AD" w:rsidRPr="0075059E" w:rsidRDefault="0075059E" w:rsidP="0075059E">
      <w:pPr>
        <w:jc w:val="both"/>
        <w:rPr>
          <w:rFonts w:asciiTheme="majorBidi" w:eastAsia="Times New Roman" w:hAnsiTheme="majorBidi" w:cstheme="majorBidi"/>
          <w:color w:val="000000"/>
          <w:sz w:val="24"/>
          <w:szCs w:val="24"/>
          <w:lang w:val="en-US"/>
        </w:rPr>
      </w:pPr>
      <w:r w:rsidRPr="0075059E">
        <w:rPr>
          <w:rFonts w:asciiTheme="majorBidi" w:hAnsiTheme="majorBidi" w:cstheme="majorBidi"/>
          <w:b/>
          <w:bCs/>
          <w:sz w:val="24"/>
          <w:szCs w:val="24"/>
        </w:rPr>
        <w:t>Results</w:t>
      </w:r>
      <w:r>
        <w:rPr>
          <w:rFonts w:asciiTheme="majorBidi" w:hAnsiTheme="majorBidi" w:cstheme="majorBidi"/>
          <w:b/>
          <w:bCs/>
          <w:sz w:val="24"/>
          <w:szCs w:val="24"/>
        </w:rPr>
        <w:t xml:space="preserve">: </w:t>
      </w:r>
      <w:r w:rsidR="00AD3146" w:rsidRPr="00983DC9">
        <w:rPr>
          <w:rFonts w:asciiTheme="majorBidi" w:hAnsiTheme="majorBidi" w:cstheme="majorBidi"/>
          <w:color w:val="000000"/>
          <w:sz w:val="24"/>
          <w:szCs w:val="24"/>
          <w:highlight w:val="yellow"/>
          <w:lang w:val="en-US"/>
        </w:rPr>
        <w:t xml:space="preserve">A clear difference in the two cases for Red bone marrow with 0.76 absorbed dose for the two </w:t>
      </w:r>
      <w:r w:rsidR="00AD3146" w:rsidRPr="00983DC9">
        <w:rPr>
          <w:rFonts w:asciiTheme="majorBidi" w:eastAsia="Times New Roman" w:hAnsiTheme="majorBidi" w:cstheme="majorBidi"/>
          <w:sz w:val="24"/>
          <w:szCs w:val="24"/>
          <w:highlight w:val="yellow"/>
        </w:rPr>
        <w:t>radiopharmaceuticals</w:t>
      </w:r>
      <w:r w:rsidR="00AD3146" w:rsidRPr="00983DC9">
        <w:rPr>
          <w:rFonts w:asciiTheme="majorBidi" w:hAnsiTheme="majorBidi" w:cstheme="majorBidi"/>
          <w:sz w:val="24"/>
          <w:szCs w:val="24"/>
          <w:highlight w:val="yellow"/>
        </w:rPr>
        <w:t xml:space="preserve"> with </w:t>
      </w:r>
      <w:r w:rsidR="00AD3146" w:rsidRPr="00983DC9">
        <w:rPr>
          <w:rFonts w:asciiTheme="majorBidi" w:hAnsiTheme="majorBidi" w:cstheme="majorBidi"/>
          <w:sz w:val="24"/>
          <w:szCs w:val="24"/>
          <w:highlight w:val="yellow"/>
          <w:lang w:val="en-US"/>
        </w:rPr>
        <w:t xml:space="preserve">IDAC-Dose2.1 compared to 0.07 and 0.14 for </w:t>
      </w:r>
      <w:r w:rsidR="00AD3146" w:rsidRPr="00983DC9">
        <w:rPr>
          <w:rFonts w:asciiTheme="majorBidi" w:eastAsia="Times New Roman" w:hAnsiTheme="majorBidi" w:cstheme="majorBidi"/>
          <w:sz w:val="24"/>
          <w:szCs w:val="24"/>
          <w:highlight w:val="yellow"/>
        </w:rPr>
        <w:t>OLINDA</w:t>
      </w:r>
      <w:r w:rsidR="00AD3146" w:rsidRPr="00983DC9">
        <w:rPr>
          <w:rFonts w:asciiTheme="majorBidi" w:hAnsiTheme="majorBidi" w:cstheme="majorBidi"/>
          <w:sz w:val="24"/>
          <w:szCs w:val="24"/>
          <w:highlight w:val="yellow"/>
        </w:rPr>
        <w:t xml:space="preserve"> respectively.</w:t>
      </w:r>
      <w:r w:rsidR="00E154A3" w:rsidRPr="0075059E">
        <w:rPr>
          <w:rFonts w:asciiTheme="majorBidi" w:hAnsiTheme="majorBidi" w:cstheme="majorBidi"/>
          <w:sz w:val="24"/>
          <w:szCs w:val="24"/>
        </w:rPr>
        <w:t xml:space="preserve"> In the case of </w:t>
      </w:r>
      <w:r w:rsidR="00E154A3" w:rsidRPr="0075059E">
        <w:rPr>
          <w:rFonts w:asciiTheme="majorBidi" w:hAnsiTheme="majorBidi" w:cstheme="majorBidi"/>
          <w:sz w:val="24"/>
          <w:szCs w:val="24"/>
          <w:vertAlign w:val="superscript"/>
        </w:rPr>
        <w:t>177</w:t>
      </w:r>
      <w:r w:rsidR="00E154A3" w:rsidRPr="0075059E">
        <w:rPr>
          <w:rFonts w:asciiTheme="majorBidi" w:hAnsiTheme="majorBidi" w:cstheme="majorBidi"/>
          <w:sz w:val="24"/>
          <w:szCs w:val="24"/>
        </w:rPr>
        <w:t xml:space="preserve">Lu-EDTMP </w:t>
      </w:r>
      <w:r w:rsidR="00E154A3" w:rsidRPr="0075059E">
        <w:rPr>
          <w:rFonts w:asciiTheme="majorBidi" w:hAnsiTheme="majorBidi" w:cstheme="majorBidi"/>
          <w:color w:val="000000"/>
          <w:sz w:val="24"/>
          <w:szCs w:val="24"/>
          <w:lang w:val="en-US"/>
        </w:rPr>
        <w:t xml:space="preserve">Red bone marrow is in good agreement 0.63 and 0.8 for </w:t>
      </w:r>
      <w:r w:rsidR="00E154A3" w:rsidRPr="0075059E">
        <w:rPr>
          <w:rFonts w:asciiTheme="majorBidi" w:hAnsiTheme="majorBidi" w:cstheme="majorBidi"/>
          <w:sz w:val="24"/>
          <w:szCs w:val="24"/>
          <w:lang w:val="en-US"/>
        </w:rPr>
        <w:t xml:space="preserve">IDAC-Dose2.1 and </w:t>
      </w:r>
      <w:r w:rsidR="00E154A3" w:rsidRPr="0075059E">
        <w:rPr>
          <w:rFonts w:asciiTheme="majorBidi" w:eastAsia="Times New Roman" w:hAnsiTheme="majorBidi" w:cstheme="majorBidi"/>
          <w:sz w:val="24"/>
          <w:szCs w:val="24"/>
        </w:rPr>
        <w:t>OLINDA</w:t>
      </w:r>
      <w:r w:rsidR="00E154A3" w:rsidRPr="0075059E">
        <w:rPr>
          <w:rFonts w:asciiTheme="majorBidi" w:hAnsiTheme="majorBidi" w:cstheme="majorBidi"/>
          <w:sz w:val="24"/>
          <w:szCs w:val="24"/>
        </w:rPr>
        <w:t xml:space="preserve"> respectively. The main difference is </w:t>
      </w:r>
      <w:r w:rsidR="0049498A" w:rsidRPr="0075059E">
        <w:rPr>
          <w:rFonts w:asciiTheme="majorBidi" w:hAnsiTheme="majorBidi" w:cstheme="majorBidi"/>
          <w:sz w:val="24"/>
          <w:szCs w:val="24"/>
        </w:rPr>
        <w:t>two-time</w:t>
      </w:r>
      <w:r w:rsidR="00E154A3" w:rsidRPr="0075059E">
        <w:rPr>
          <w:rFonts w:asciiTheme="majorBidi" w:hAnsiTheme="majorBidi" w:cstheme="majorBidi"/>
          <w:sz w:val="24"/>
          <w:szCs w:val="24"/>
        </w:rPr>
        <w:t xml:space="preserve"> difference of bone surface absorbed dose 2.1 </w:t>
      </w:r>
      <w:r w:rsidR="00E154A3" w:rsidRPr="0075059E">
        <w:rPr>
          <w:rFonts w:asciiTheme="majorBidi" w:hAnsiTheme="majorBidi" w:cstheme="majorBidi"/>
          <w:color w:val="000000"/>
          <w:sz w:val="24"/>
          <w:szCs w:val="24"/>
          <w:lang w:val="en-US"/>
        </w:rPr>
        <w:t xml:space="preserve">for </w:t>
      </w:r>
      <w:r w:rsidR="00E154A3" w:rsidRPr="0075059E">
        <w:rPr>
          <w:rFonts w:asciiTheme="majorBidi" w:hAnsiTheme="majorBidi" w:cstheme="majorBidi"/>
          <w:sz w:val="24"/>
          <w:szCs w:val="24"/>
          <w:lang w:val="en-US"/>
        </w:rPr>
        <w:t xml:space="preserve">IDAC-Dose2.1 </w:t>
      </w:r>
      <w:r w:rsidR="00E154A3" w:rsidRPr="0075059E">
        <w:rPr>
          <w:rFonts w:asciiTheme="majorBidi" w:hAnsiTheme="majorBidi" w:cstheme="majorBidi"/>
          <w:sz w:val="24"/>
          <w:szCs w:val="24"/>
        </w:rPr>
        <w:t xml:space="preserve">and 5.4 for </w:t>
      </w:r>
      <w:r w:rsidR="00E154A3" w:rsidRPr="0075059E">
        <w:rPr>
          <w:rFonts w:asciiTheme="majorBidi" w:eastAsia="Times New Roman" w:hAnsiTheme="majorBidi" w:cstheme="majorBidi"/>
          <w:sz w:val="24"/>
          <w:szCs w:val="24"/>
        </w:rPr>
        <w:t>OLINDA</w:t>
      </w:r>
      <w:r w:rsidR="00E154A3" w:rsidRPr="0075059E">
        <w:rPr>
          <w:rFonts w:asciiTheme="majorBidi" w:hAnsiTheme="majorBidi" w:cstheme="majorBidi"/>
          <w:sz w:val="24"/>
          <w:szCs w:val="24"/>
        </w:rPr>
        <w:t>.</w:t>
      </w:r>
      <w:r w:rsidR="007669F7" w:rsidRPr="0075059E">
        <w:rPr>
          <w:rFonts w:asciiTheme="majorBidi" w:hAnsiTheme="majorBidi" w:cstheme="majorBidi"/>
          <w:sz w:val="24"/>
          <w:szCs w:val="24"/>
        </w:rPr>
        <w:t xml:space="preserve"> Also, ten times difference in </w:t>
      </w:r>
      <w:r w:rsidR="007669F7" w:rsidRPr="0075059E">
        <w:rPr>
          <w:rFonts w:asciiTheme="majorBidi" w:eastAsia="Times New Roman" w:hAnsiTheme="majorBidi" w:cstheme="majorBidi"/>
          <w:color w:val="000000"/>
          <w:sz w:val="24"/>
          <w:szCs w:val="24"/>
          <w:lang w:val="en-US"/>
        </w:rPr>
        <w:t>Urinary bladder wall absorbed dose is observed.</w:t>
      </w:r>
    </w:p>
    <w:p w14:paraId="7D0D3421" w14:textId="710B5BF9" w:rsidR="000321ED" w:rsidRPr="0075059E" w:rsidRDefault="000321ED" w:rsidP="0075059E">
      <w:pPr>
        <w:jc w:val="both"/>
        <w:rPr>
          <w:rFonts w:asciiTheme="majorBidi" w:hAnsiTheme="majorBidi" w:cstheme="majorBidi"/>
          <w:i/>
          <w:iCs/>
          <w:u w:val="single"/>
        </w:rPr>
      </w:pPr>
      <w:r w:rsidRPr="0075059E">
        <w:rPr>
          <w:rFonts w:asciiTheme="majorBidi" w:eastAsia="Times New Roman" w:hAnsiTheme="majorBidi" w:cstheme="majorBidi"/>
          <w:color w:val="000000"/>
          <w:sz w:val="24"/>
          <w:szCs w:val="24"/>
          <w:u w:val="single"/>
          <w:lang w:val="en-US"/>
        </w:rPr>
        <w:t xml:space="preserve">Keywords: </w:t>
      </w:r>
      <w:r w:rsidR="0075059E" w:rsidRPr="0075059E">
        <w:rPr>
          <w:rFonts w:asciiTheme="majorBidi" w:hAnsiTheme="majorBidi" w:cstheme="majorBidi"/>
          <w:i/>
          <w:iCs/>
          <w:u w:val="single"/>
          <w:lang w:val="en-US"/>
        </w:rPr>
        <w:t xml:space="preserve">IDAC-Dose2.1; </w:t>
      </w:r>
      <w:r w:rsidR="0075059E" w:rsidRPr="0075059E">
        <w:rPr>
          <w:rFonts w:asciiTheme="majorBidi" w:hAnsiTheme="majorBidi" w:cstheme="majorBidi"/>
          <w:i/>
          <w:iCs/>
          <w:u w:val="single"/>
        </w:rPr>
        <w:t xml:space="preserve">OLINDA; internal Dosimetry; </w:t>
      </w:r>
      <w:r w:rsidR="0075059E" w:rsidRPr="0075059E">
        <w:rPr>
          <w:rFonts w:asciiTheme="majorBidi" w:hAnsiTheme="majorBidi" w:cstheme="majorBidi"/>
          <w:i/>
          <w:iCs/>
          <w:u w:val="single"/>
          <w:vertAlign w:val="superscript"/>
        </w:rPr>
        <w:t>89</w:t>
      </w:r>
      <w:r w:rsidR="0075059E" w:rsidRPr="0075059E">
        <w:rPr>
          <w:rFonts w:asciiTheme="majorBidi" w:hAnsiTheme="majorBidi" w:cstheme="majorBidi"/>
          <w:i/>
          <w:iCs/>
          <w:u w:val="single"/>
        </w:rPr>
        <w:t xml:space="preserve">Zr; </w:t>
      </w:r>
      <w:r w:rsidR="0075059E" w:rsidRPr="0075059E">
        <w:rPr>
          <w:rFonts w:asciiTheme="majorBidi" w:eastAsia="Calibri" w:hAnsiTheme="majorBidi" w:cstheme="majorBidi"/>
          <w:i/>
          <w:iCs/>
          <w:u w:val="single"/>
          <w:vertAlign w:val="superscript"/>
          <w:lang w:val="en-US"/>
        </w:rPr>
        <w:t>153</w:t>
      </w:r>
      <w:r w:rsidR="0075059E" w:rsidRPr="0075059E">
        <w:rPr>
          <w:rFonts w:asciiTheme="majorBidi" w:eastAsia="Calibri" w:hAnsiTheme="majorBidi" w:cstheme="majorBidi"/>
          <w:i/>
          <w:iCs/>
          <w:u w:val="single"/>
          <w:lang w:val="en-US"/>
        </w:rPr>
        <w:t>Sm</w:t>
      </w:r>
      <w:r w:rsidR="0075059E" w:rsidRPr="0075059E">
        <w:rPr>
          <w:rFonts w:asciiTheme="majorBidi" w:hAnsiTheme="majorBidi" w:cstheme="majorBidi"/>
          <w:i/>
          <w:iCs/>
          <w:u w:val="single"/>
          <w:lang w:val="en-US"/>
        </w:rPr>
        <w:t>;</w:t>
      </w:r>
      <w:r w:rsidR="0075059E" w:rsidRPr="0075059E">
        <w:rPr>
          <w:rFonts w:asciiTheme="majorBidi" w:hAnsiTheme="majorBidi" w:cstheme="majorBidi"/>
          <w:i/>
          <w:iCs/>
          <w:u w:val="single"/>
          <w:vertAlign w:val="superscript"/>
        </w:rPr>
        <w:t>177</w:t>
      </w:r>
      <w:r w:rsidR="0075059E" w:rsidRPr="0075059E">
        <w:rPr>
          <w:rFonts w:asciiTheme="majorBidi" w:hAnsiTheme="majorBidi" w:cstheme="majorBidi"/>
          <w:i/>
          <w:iCs/>
          <w:u w:val="single"/>
        </w:rPr>
        <w:t>Lu.</w:t>
      </w:r>
    </w:p>
    <w:p w14:paraId="3BE7DF0F" w14:textId="77777777" w:rsidR="00907560" w:rsidRPr="0049498A" w:rsidRDefault="00907560" w:rsidP="00907560">
      <w:pPr>
        <w:ind w:firstLine="720"/>
        <w:jc w:val="both"/>
        <w:rPr>
          <w:rFonts w:ascii="Calibri" w:eastAsia="Times New Roman" w:hAnsi="Calibri" w:cs="Calibri"/>
          <w:color w:val="000000"/>
          <w:sz w:val="2"/>
          <w:szCs w:val="2"/>
          <w:lang w:val="en-US"/>
        </w:rPr>
      </w:pPr>
    </w:p>
    <w:p w14:paraId="49652907" w14:textId="77777777" w:rsidR="007136AD" w:rsidRPr="00907560" w:rsidRDefault="007136AD" w:rsidP="007136AD">
      <w:pPr>
        <w:pStyle w:val="ListParagraph"/>
        <w:numPr>
          <w:ilvl w:val="0"/>
          <w:numId w:val="1"/>
        </w:numPr>
        <w:jc w:val="both"/>
        <w:rPr>
          <w:sz w:val="20"/>
          <w:szCs w:val="20"/>
        </w:rPr>
      </w:pPr>
      <w:r w:rsidRPr="00907560">
        <w:rPr>
          <w:rFonts w:asciiTheme="majorBidi" w:hAnsiTheme="majorBidi" w:cstheme="majorBidi"/>
          <w:sz w:val="20"/>
          <w:szCs w:val="20"/>
          <w:lang w:val="en-US"/>
        </w:rPr>
        <w:t xml:space="preserve">Andersson M, Johansson L, </w:t>
      </w:r>
      <w:proofErr w:type="spellStart"/>
      <w:r w:rsidRPr="00907560">
        <w:rPr>
          <w:rFonts w:asciiTheme="majorBidi" w:hAnsiTheme="majorBidi" w:cstheme="majorBidi"/>
          <w:sz w:val="20"/>
          <w:szCs w:val="20"/>
          <w:lang w:val="en-US"/>
        </w:rPr>
        <w:t>Eckerman</w:t>
      </w:r>
      <w:proofErr w:type="spellEnd"/>
      <w:r w:rsidRPr="00907560">
        <w:rPr>
          <w:rFonts w:asciiTheme="majorBidi" w:hAnsiTheme="majorBidi" w:cstheme="majorBidi"/>
          <w:sz w:val="20"/>
          <w:szCs w:val="20"/>
          <w:lang w:val="en-US"/>
        </w:rPr>
        <w:t xml:space="preserve"> K, </w:t>
      </w:r>
      <w:proofErr w:type="spellStart"/>
      <w:r w:rsidRPr="00907560">
        <w:rPr>
          <w:rFonts w:asciiTheme="majorBidi" w:hAnsiTheme="majorBidi" w:cstheme="majorBidi"/>
          <w:sz w:val="20"/>
          <w:szCs w:val="20"/>
          <w:lang w:val="en-US"/>
        </w:rPr>
        <w:t>Mattsson</w:t>
      </w:r>
      <w:proofErr w:type="spellEnd"/>
      <w:r w:rsidRPr="00907560">
        <w:rPr>
          <w:rFonts w:asciiTheme="majorBidi" w:hAnsiTheme="majorBidi" w:cstheme="majorBidi"/>
          <w:sz w:val="20"/>
          <w:szCs w:val="20"/>
          <w:lang w:val="en-US"/>
        </w:rPr>
        <w:t xml:space="preserve"> S. IDAC-Dose 2.1, an internal dosimetry program for diagnostic nuclear medicine based on the ICRP adult reference voxel phantoms. EJNMMI Res 2017</w:t>
      </w:r>
      <w:proofErr w:type="gramStart"/>
      <w:r w:rsidRPr="00907560">
        <w:rPr>
          <w:rFonts w:asciiTheme="majorBidi" w:hAnsiTheme="majorBidi" w:cstheme="majorBidi"/>
          <w:sz w:val="20"/>
          <w:szCs w:val="20"/>
          <w:lang w:val="en-US"/>
        </w:rPr>
        <w:t>;7:1</w:t>
      </w:r>
      <w:proofErr w:type="gramEnd"/>
      <w:r w:rsidRPr="00907560">
        <w:rPr>
          <w:rFonts w:asciiTheme="majorBidi" w:hAnsiTheme="majorBidi" w:cstheme="majorBidi"/>
          <w:sz w:val="20"/>
          <w:szCs w:val="20"/>
          <w:lang w:val="en-US"/>
        </w:rPr>
        <w:t>–10. doi:10.1186/s13550-017-0339-3.</w:t>
      </w:r>
    </w:p>
    <w:p w14:paraId="48E3BE92" w14:textId="77777777" w:rsidR="007136AD" w:rsidRPr="00907560" w:rsidRDefault="007136AD" w:rsidP="007136AD">
      <w:pPr>
        <w:pStyle w:val="ListParagraph"/>
        <w:numPr>
          <w:ilvl w:val="0"/>
          <w:numId w:val="1"/>
        </w:numPr>
        <w:jc w:val="both"/>
        <w:rPr>
          <w:sz w:val="20"/>
          <w:szCs w:val="20"/>
        </w:rPr>
      </w:pPr>
      <w:r w:rsidRPr="00907560">
        <w:rPr>
          <w:rFonts w:ascii="Times New Roman" w:hAnsi="Times New Roman" w:cs="Times New Roman"/>
          <w:noProof/>
          <w:sz w:val="20"/>
          <w:szCs w:val="20"/>
        </w:rPr>
        <w:lastRenderedPageBreak/>
        <w:t>Stabin MG, Sparks RB, Crowe E. OLINDA/EXM: The Second-Generation Personal Computer Software for Internal Dose Assessment in Nuclear Medicine. J Nucl Med. 2005;1023–8.</w:t>
      </w:r>
    </w:p>
    <w:sectPr w:rsidR="007136AD" w:rsidRPr="009075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E3A4AF2"/>
    <w:multiLevelType w:val="hybridMultilevel"/>
    <w:tmpl w:val="CC8EF0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64E6"/>
    <w:rsid w:val="000321ED"/>
    <w:rsid w:val="002010E3"/>
    <w:rsid w:val="002D248C"/>
    <w:rsid w:val="003C64E6"/>
    <w:rsid w:val="003E7357"/>
    <w:rsid w:val="00433CC9"/>
    <w:rsid w:val="0049498A"/>
    <w:rsid w:val="004C29D8"/>
    <w:rsid w:val="00544574"/>
    <w:rsid w:val="00665521"/>
    <w:rsid w:val="007136AD"/>
    <w:rsid w:val="00721C37"/>
    <w:rsid w:val="0075059E"/>
    <w:rsid w:val="007669F7"/>
    <w:rsid w:val="00841C17"/>
    <w:rsid w:val="00843541"/>
    <w:rsid w:val="00896868"/>
    <w:rsid w:val="00907560"/>
    <w:rsid w:val="00983DC9"/>
    <w:rsid w:val="009F332C"/>
    <w:rsid w:val="00AD3146"/>
    <w:rsid w:val="00E154A3"/>
    <w:rsid w:val="00E630A6"/>
    <w:rsid w:val="00EA494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BDB84"/>
  <w15:chartTrackingRefBased/>
  <w15:docId w15:val="{F68267BF-0CDD-4FA6-AD63-D5A703930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3541"/>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843541"/>
    <w:rPr>
      <w:color w:val="0000FF"/>
      <w:u w:val="single"/>
    </w:rPr>
  </w:style>
  <w:style w:type="paragraph" w:customStyle="1" w:styleId="Affiliation">
    <w:name w:val="Affiliation"/>
    <w:basedOn w:val="Normal"/>
    <w:link w:val="AffiliationChar"/>
    <w:rsid w:val="00843541"/>
    <w:pPr>
      <w:keepNext/>
      <w:widowControl w:val="0"/>
      <w:autoSpaceDE w:val="0"/>
      <w:autoSpaceDN w:val="0"/>
      <w:spacing w:after="360" w:line="240" w:lineRule="auto"/>
      <w:contextualSpacing/>
      <w:jc w:val="center"/>
    </w:pPr>
    <w:rPr>
      <w:rFonts w:ascii="Georgia" w:eastAsia="Times New Roman" w:hAnsi="Georgia" w:cs="Times New Roman"/>
      <w:sz w:val="18"/>
      <w:szCs w:val="20"/>
    </w:rPr>
  </w:style>
  <w:style w:type="character" w:customStyle="1" w:styleId="AffiliationChar">
    <w:name w:val="Affiliation Char"/>
    <w:link w:val="Affiliation"/>
    <w:rsid w:val="00843541"/>
    <w:rPr>
      <w:rFonts w:ascii="Georgia" w:eastAsia="Times New Roman" w:hAnsi="Georgia" w:cs="Times New Roman"/>
      <w:sz w:val="18"/>
      <w:szCs w:val="20"/>
      <w:lang w:val="en-GB"/>
    </w:rPr>
  </w:style>
  <w:style w:type="paragraph" w:styleId="NormalWeb">
    <w:name w:val="Normal (Web)"/>
    <w:basedOn w:val="Normal"/>
    <w:uiPriority w:val="99"/>
    <w:unhideWhenUsed/>
    <w:rsid w:val="0084354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7136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285906">
      <w:bodyDiv w:val="1"/>
      <w:marLeft w:val="0"/>
      <w:marRight w:val="0"/>
      <w:marTop w:val="0"/>
      <w:marBottom w:val="0"/>
      <w:divBdr>
        <w:top w:val="none" w:sz="0" w:space="0" w:color="auto"/>
        <w:left w:val="none" w:sz="0" w:space="0" w:color="auto"/>
        <w:bottom w:val="none" w:sz="0" w:space="0" w:color="auto"/>
        <w:right w:val="none" w:sz="0" w:space="0" w:color="auto"/>
      </w:divBdr>
    </w:div>
    <w:div w:id="1857885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m.zakaly@gmail.com" TargetMode="External"/><Relationship Id="rId5" Type="http://schemas.openxmlformats.org/officeDocument/2006/relationships/hyperlink" Target="mailto:h.m.zakaly@azhar.edu.e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1058</Words>
  <Characters>6032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urfu</Company>
  <LinksUpToDate>false</LinksUpToDate>
  <CharactersWithSpaces>7076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mostafa</dc:creator>
  <cp:keywords/>
  <dc:description/>
  <cp:lastModifiedBy>Hesham MH. Zakaly</cp:lastModifiedBy>
  <cp:revision>2</cp:revision>
  <dcterms:created xsi:type="dcterms:W3CDTF">2019-06-19T05:44:00Z</dcterms:created>
  <dcterms:modified xsi:type="dcterms:W3CDTF">2019-06-19T05:44:00Z</dcterms:modified>
</cp:coreProperties>
</file>