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0B3683" w:rsidP="00494130">
      <w:pPr>
        <w:pStyle w:val="Heading1"/>
        <w:spacing w:before="170"/>
        <w:ind w:left="0"/>
      </w:pPr>
      <w:r>
        <w:rPr>
          <w:color w:val="337AB7"/>
          <w:lang w:val="id-ID"/>
        </w:rPr>
        <w:t xml:space="preserve"> </w:t>
      </w:r>
      <w:r w:rsidR="005F26C1">
        <w:rPr>
          <w:color w:val="337AB7"/>
        </w:rPr>
        <w:t>Defect – induced magnetism in oxide nano</w:t>
      </w:r>
      <w:r w:rsidR="000A3792">
        <w:rPr>
          <w:color w:val="337AB7"/>
        </w:rPr>
        <w:t>materials</w:t>
      </w:r>
      <w:bookmarkStart w:id="0" w:name="_GoBack"/>
      <w:bookmarkEnd w:id="0"/>
    </w:p>
    <w:p w:rsidR="005F26C1" w:rsidRPr="00D35A55" w:rsidRDefault="005F26C1" w:rsidP="005973B9">
      <w:pPr>
        <w:pStyle w:val="BodyText"/>
        <w:spacing w:before="73" w:line="198" w:lineRule="exact"/>
        <w:ind w:left="100" w:right="5987"/>
        <w:rPr>
          <w:rFonts w:ascii="Arial"/>
          <w:b/>
        </w:rPr>
      </w:pPr>
      <w:r w:rsidRPr="00D35A55">
        <w:rPr>
          <w:rFonts w:ascii="Arial"/>
          <w:b/>
        </w:rPr>
        <w:t>D. Darminto, R. Asih, F. Astuti, M.A. Baqiya</w:t>
      </w:r>
    </w:p>
    <w:p w:rsidR="005973B9" w:rsidRDefault="005F26C1" w:rsidP="005973B9">
      <w:pPr>
        <w:pStyle w:val="BodyText"/>
        <w:spacing w:before="73" w:line="198" w:lineRule="exact"/>
        <w:ind w:left="100" w:right="5987"/>
        <w:rPr>
          <w:rFonts w:ascii="Arial"/>
        </w:rPr>
      </w:pPr>
      <w:r>
        <w:rPr>
          <w:rFonts w:ascii="Arial"/>
        </w:rPr>
        <w:t>Department of Physics, Institute of Technology Sepuluh</w:t>
      </w:r>
      <w:r w:rsidR="005E1C23">
        <w:rPr>
          <w:rFonts w:ascii="Arial"/>
          <w:lang w:val="id-ID"/>
        </w:rPr>
        <w:t xml:space="preserve"> </w:t>
      </w:r>
      <w:r>
        <w:rPr>
          <w:rFonts w:ascii="Arial"/>
        </w:rPr>
        <w:t>Nopember, Surabaya 60111, Indonesia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5E1C23" w:rsidRDefault="00A9710C" w:rsidP="005E1C23">
      <w:pPr>
        <w:pStyle w:val="Heading3"/>
        <w:spacing w:before="147"/>
        <w:jc w:val="both"/>
        <w:rPr>
          <w:color w:val="BF5A14"/>
          <w:lang w:val="id-ID"/>
        </w:rPr>
      </w:pPr>
      <w:r>
        <w:rPr>
          <w:color w:val="BF5A14"/>
        </w:rPr>
        <w:lastRenderedPageBreak/>
        <w:t>Abstract</w:t>
      </w:r>
      <w:r w:rsidR="00404E5B">
        <w:rPr>
          <w:color w:val="BF5A14"/>
        </w:rPr>
        <w:t xml:space="preserve"> </w:t>
      </w:r>
    </w:p>
    <w:p w:rsidR="005F26C1" w:rsidRPr="005E1C23" w:rsidRDefault="005F26C1" w:rsidP="005E1C23">
      <w:pPr>
        <w:pStyle w:val="Heading3"/>
        <w:spacing w:before="147"/>
        <w:jc w:val="both"/>
        <w:rPr>
          <w:b w:val="0"/>
          <w:color w:val="111111"/>
          <w:shd w:val="clear" w:color="auto" w:fill="FFFFFF"/>
        </w:rPr>
      </w:pPr>
      <w:r w:rsidRPr="005E1C23">
        <w:rPr>
          <w:b w:val="0"/>
          <w:color w:val="111111"/>
          <w:shd w:val="clear" w:color="auto" w:fill="FFFFFF"/>
        </w:rPr>
        <w:t xml:space="preserve">Nano-sized materials are generally characterized by specific features being different from the bulk forms. One of them is weak ferromagnetism or superparamagnetism. This </w:t>
      </w:r>
      <w:r w:rsidR="005E1C23" w:rsidRPr="005E1C23">
        <w:rPr>
          <w:b w:val="0"/>
          <w:color w:val="111111"/>
          <w:shd w:val="clear" w:color="auto" w:fill="FFFFFF"/>
          <w:lang w:val="id-ID"/>
        </w:rPr>
        <w:t>may probably</w:t>
      </w:r>
      <w:r w:rsidRPr="005E1C23">
        <w:rPr>
          <w:b w:val="0"/>
          <w:color w:val="111111"/>
          <w:shd w:val="clear" w:color="auto" w:fill="FFFFFF"/>
        </w:rPr>
        <w:t xml:space="preserve"> be occurred due to specific surface effects which contribute to the properties of the nanomaterials. Most oxide nanoparticles behave as ferromagnetic materials at room temperature. This phenomenon is an unusual property for non-magnetic oxides. The non-magnetic compounds commonly exhibit paramagnetic or diamagnetic behavior, but not ferromagnetic one. According to several studies, this magnetism may generally originate from magnetic </w:t>
      </w:r>
      <w:r w:rsidR="00D35A55">
        <w:rPr>
          <w:b w:val="0"/>
          <w:color w:val="111111"/>
          <w:shd w:val="clear" w:color="auto" w:fill="FFFFFF"/>
          <w:lang w:val="id-ID"/>
        </w:rPr>
        <w:t xml:space="preserve">    </w:t>
      </w:r>
      <w:r w:rsidRPr="005E1C23">
        <w:rPr>
          <w:b w:val="0"/>
          <w:color w:val="111111"/>
          <w:shd w:val="clear" w:color="auto" w:fill="FFFFFF"/>
        </w:rPr>
        <w:t xml:space="preserve">moments of oxygen vacancies (crystalline point defects) at the surface of the nanoparticles, substitutional defects or dangling bonds. This work is to elucidate the magnetism due to defects in </w:t>
      </w:r>
      <w:r w:rsidR="005E1C23" w:rsidRPr="005E1C23">
        <w:rPr>
          <w:b w:val="0"/>
          <w:color w:val="111111"/>
          <w:shd w:val="clear" w:color="auto" w:fill="FFFFFF"/>
          <w:lang w:val="id-ID"/>
        </w:rPr>
        <w:t>oxide nanomaterials</w:t>
      </w:r>
      <w:r w:rsidRPr="005E1C23">
        <w:rPr>
          <w:b w:val="0"/>
          <w:color w:val="111111"/>
          <w:shd w:val="clear" w:color="auto" w:fill="FFFFFF"/>
        </w:rPr>
        <w:t>, namely, nano-</w:t>
      </w:r>
      <w:r w:rsidR="005E1C23" w:rsidRPr="005E1C23">
        <w:rPr>
          <w:b w:val="0"/>
          <w:color w:val="111111"/>
          <w:shd w:val="clear" w:color="auto" w:fill="FFFFFF"/>
          <w:lang w:val="id-ID"/>
        </w:rPr>
        <w:t>semiconducting</w:t>
      </w:r>
      <w:r w:rsidRPr="005E1C23">
        <w:rPr>
          <w:b w:val="0"/>
          <w:color w:val="111111"/>
          <w:shd w:val="clear" w:color="auto" w:fill="FFFFFF"/>
        </w:rPr>
        <w:t xml:space="preserve"> oxides, reduced graphene oxides and nanosized superconductors for both p- dan n-type cuprate systems.</w:t>
      </w:r>
    </w:p>
    <w:p w:rsidR="00AE3E37" w:rsidRDefault="00A9710C" w:rsidP="005F26C1">
      <w:pPr>
        <w:pStyle w:val="Heading3"/>
        <w:spacing w:before="74"/>
        <w:jc w:val="both"/>
      </w:pPr>
      <w:r>
        <w:rPr>
          <w:b w:val="0"/>
        </w:rPr>
        <w:br w:type="column"/>
      </w:r>
      <w:r>
        <w:rPr>
          <w:color w:val="BF5A14"/>
        </w:rPr>
        <w:lastRenderedPageBreak/>
        <w:t>Image</w:t>
      </w:r>
    </w:p>
    <w:p w:rsidR="00D35A55" w:rsidRDefault="00D35A55" w:rsidP="00D35A55">
      <w:pPr>
        <w:pStyle w:val="BodyText"/>
        <w:spacing w:before="2"/>
        <w:jc w:val="center"/>
        <w:rPr>
          <w:rFonts w:ascii="Arial"/>
          <w:b/>
          <w:sz w:val="16"/>
          <w:lang w:val="id-ID"/>
        </w:rPr>
      </w:pPr>
      <w:r w:rsidRPr="00D35A55">
        <w:rPr>
          <w:rFonts w:ascii="Arial"/>
          <w:b/>
          <w:sz w:val="16"/>
          <w:lang w:val="id-ID"/>
        </w:rPr>
        <w:drawing>
          <wp:inline distT="0" distB="0" distL="0" distR="0">
            <wp:extent cx="2883877" cy="1916724"/>
            <wp:effectExtent l="0" t="0" r="0" b="0"/>
            <wp:docPr id="6"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96200" cy="5407025"/>
                      <a:chOff x="609600" y="838200"/>
                      <a:chExt cx="7696200" cy="5407025"/>
                    </a:xfrm>
                  </a:grpSpPr>
                  <a:grpSp>
                    <a:nvGrpSpPr>
                      <a:cNvPr id="9" name="Group 8"/>
                      <a:cNvGrpSpPr/>
                    </a:nvGrpSpPr>
                    <a:grpSpPr>
                      <a:xfrm>
                        <a:off x="609600" y="838200"/>
                        <a:ext cx="7696200" cy="5407025"/>
                        <a:chOff x="609600" y="838200"/>
                        <a:chExt cx="7696200" cy="5407025"/>
                      </a:xfrm>
                    </a:grpSpPr>
                    <a:pic>
                      <a:nvPicPr>
                        <a:cNvPr id="0" name="Object 2"/>
                        <a:cNvPicPr>
                          <a:picLocks noChangeAspect="1" noChangeArrowheads="1"/>
                        </a:cNvPicPr>
                      </a:nvPicPr>
                      <a:blipFill>
                        <a:blip r:embed="rId9"/>
                        <a:srcRect/>
                        <a:stretch>
                          <a:fillRect/>
                        </a:stretch>
                      </a:blipFill>
                      <a:spPr bwMode="auto">
                        <a:xfrm>
                          <a:off x="609600" y="838200"/>
                          <a:ext cx="7696200" cy="5407025"/>
                        </a:xfrm>
                        <a:prstGeom prst="rect">
                          <a:avLst/>
                        </a:prstGeom>
                        <a:noFill/>
                      </a:spPr>
                    </a:pic>
                    <a:grpSp>
                      <a:nvGrpSpPr>
                        <a:cNvPr id="4" name="Group 10"/>
                        <a:cNvGrpSpPr>
                          <a:grpSpLocks/>
                        </a:cNvGrpSpPr>
                      </a:nvGrpSpPr>
                      <a:grpSpPr bwMode="auto">
                        <a:xfrm>
                          <a:off x="1981200" y="2819400"/>
                          <a:ext cx="5715000" cy="685800"/>
                          <a:chOff x="1248" y="1776"/>
                          <a:chExt cx="3600" cy="432"/>
                        </a:xfrm>
                      </a:grpSpPr>
                      <a:sp>
                        <a:nvSpPr>
                          <a:cNvPr id="109575" name="Line 7"/>
                          <a:cNvSpPr>
                            <a:spLocks noChangeShapeType="1"/>
                          </a:cNvSpPr>
                        </a:nvSpPr>
                        <a:spPr bwMode="auto">
                          <a:xfrm flipV="1">
                            <a:off x="1248" y="1776"/>
                            <a:ext cx="3600" cy="432"/>
                          </a:xfrm>
                          <a:prstGeom prst="line">
                            <a:avLst/>
                          </a:prstGeom>
                          <a:noFill/>
                          <a:ln w="57150">
                            <a:solidFill>
                              <a:srgbClr val="FF0000"/>
                            </a:solidFill>
                            <a:prstDash val="dash"/>
                            <a:round/>
                            <a:headEnd/>
                            <a:tailEnd/>
                          </a:ln>
                          <a:effectLst/>
                        </a:spPr>
                        <a:txSp>
                          <a:txBody>
                            <a:bodyPr/>
                            <a:lstStyle>
                              <a:defPPr>
                                <a:defRPr lang="en-US"/>
                              </a:defPPr>
                              <a:lvl1pPr algn="ctr" rtl="0" eaLnBrk="0" fontAlgn="base" hangingPunct="0">
                                <a:spcBef>
                                  <a:spcPct val="0"/>
                                </a:spcBef>
                                <a:spcAft>
                                  <a:spcPct val="0"/>
                                </a:spcAft>
                                <a:defRPr kern="1200">
                                  <a:solidFill>
                                    <a:schemeClr val="tx1"/>
                                  </a:solidFill>
                                  <a:latin typeface="Verdana" pitchFamily="34" charset="0"/>
                                  <a:ea typeface="+mn-ea"/>
                                  <a:cs typeface="+mn-cs"/>
                                </a:defRPr>
                              </a:lvl1pPr>
                              <a:lvl2pPr marL="457200" algn="ctr" rtl="0" eaLnBrk="0" fontAlgn="base" hangingPunct="0">
                                <a:spcBef>
                                  <a:spcPct val="0"/>
                                </a:spcBef>
                                <a:spcAft>
                                  <a:spcPct val="0"/>
                                </a:spcAft>
                                <a:defRPr kern="1200">
                                  <a:solidFill>
                                    <a:schemeClr val="tx1"/>
                                  </a:solidFill>
                                  <a:latin typeface="Verdana" pitchFamily="34" charset="0"/>
                                  <a:ea typeface="+mn-ea"/>
                                  <a:cs typeface="+mn-cs"/>
                                </a:defRPr>
                              </a:lvl2pPr>
                              <a:lvl3pPr marL="914400" algn="ctr" rtl="0" eaLnBrk="0" fontAlgn="base" hangingPunct="0">
                                <a:spcBef>
                                  <a:spcPct val="0"/>
                                </a:spcBef>
                                <a:spcAft>
                                  <a:spcPct val="0"/>
                                </a:spcAft>
                                <a:defRPr kern="1200">
                                  <a:solidFill>
                                    <a:schemeClr val="tx1"/>
                                  </a:solidFill>
                                  <a:latin typeface="Verdana" pitchFamily="34" charset="0"/>
                                  <a:ea typeface="+mn-ea"/>
                                  <a:cs typeface="+mn-cs"/>
                                </a:defRPr>
                              </a:lvl3pPr>
                              <a:lvl4pPr marL="1371600" algn="ctr" rtl="0" eaLnBrk="0" fontAlgn="base" hangingPunct="0">
                                <a:spcBef>
                                  <a:spcPct val="0"/>
                                </a:spcBef>
                                <a:spcAft>
                                  <a:spcPct val="0"/>
                                </a:spcAft>
                                <a:defRPr kern="1200">
                                  <a:solidFill>
                                    <a:schemeClr val="tx1"/>
                                  </a:solidFill>
                                  <a:latin typeface="Verdana" pitchFamily="34" charset="0"/>
                                  <a:ea typeface="+mn-ea"/>
                                  <a:cs typeface="+mn-cs"/>
                                </a:defRPr>
                              </a:lvl4pPr>
                              <a:lvl5pPr marL="1828800" algn="ctr" rtl="0" eaLnBrk="0" fontAlgn="base" hangingPunct="0">
                                <a:spcBef>
                                  <a:spcPct val="0"/>
                                </a:spcBef>
                                <a:spcAft>
                                  <a:spcPct val="0"/>
                                </a:spcAft>
                                <a:defRPr kern="1200">
                                  <a:solidFill>
                                    <a:schemeClr val="tx1"/>
                                  </a:solidFill>
                                  <a:latin typeface="Verdana" pitchFamily="34" charset="0"/>
                                  <a:ea typeface="+mn-ea"/>
                                  <a:cs typeface="+mn-cs"/>
                                </a:defRPr>
                              </a:lvl5pPr>
                              <a:lvl6pPr marL="2286000" algn="l" defTabSz="914400" rtl="0" eaLnBrk="1" latinLnBrk="0" hangingPunct="1">
                                <a:defRPr kern="1200">
                                  <a:solidFill>
                                    <a:schemeClr val="tx1"/>
                                  </a:solidFill>
                                  <a:latin typeface="Verdana" pitchFamily="34" charset="0"/>
                                  <a:ea typeface="+mn-ea"/>
                                  <a:cs typeface="+mn-cs"/>
                                </a:defRPr>
                              </a:lvl6pPr>
                              <a:lvl7pPr marL="2743200" algn="l" defTabSz="914400" rtl="0" eaLnBrk="1" latinLnBrk="0" hangingPunct="1">
                                <a:defRPr kern="1200">
                                  <a:solidFill>
                                    <a:schemeClr val="tx1"/>
                                  </a:solidFill>
                                  <a:latin typeface="Verdana" pitchFamily="34" charset="0"/>
                                  <a:ea typeface="+mn-ea"/>
                                  <a:cs typeface="+mn-cs"/>
                                </a:defRPr>
                              </a:lvl7pPr>
                              <a:lvl8pPr marL="3200400" algn="l" defTabSz="914400" rtl="0" eaLnBrk="1" latinLnBrk="0" hangingPunct="1">
                                <a:defRPr kern="1200">
                                  <a:solidFill>
                                    <a:schemeClr val="tx1"/>
                                  </a:solidFill>
                                  <a:latin typeface="Verdana" pitchFamily="34" charset="0"/>
                                  <a:ea typeface="+mn-ea"/>
                                  <a:cs typeface="+mn-cs"/>
                                </a:defRPr>
                              </a:lvl8pPr>
                              <a:lvl9pPr marL="3657600" algn="l" defTabSz="914400" rtl="0" eaLnBrk="1" latinLnBrk="0" hangingPunct="1">
                                <a:defRPr kern="1200">
                                  <a:solidFill>
                                    <a:schemeClr val="tx1"/>
                                  </a:solidFill>
                                  <a:latin typeface="Verdana" pitchFamily="34" charset="0"/>
                                  <a:ea typeface="+mn-ea"/>
                                  <a:cs typeface="+mn-cs"/>
                                </a:defRPr>
                              </a:lvl9pPr>
                            </a:lstStyle>
                            <a:p>
                              <a:endParaRPr lang="id-ID"/>
                            </a:p>
                          </a:txBody>
                          <a:useSpRect/>
                        </a:txSp>
                      </a:sp>
                      <a:sp>
                        <a:nvSpPr>
                          <a:cNvPr id="109576" name="Text Box 8"/>
                          <a:cNvSpPr txBox="1">
                            <a:spLocks noChangeArrowheads="1"/>
                          </a:cNvSpPr>
                        </a:nvSpPr>
                        <a:spPr bwMode="auto">
                          <a:xfrm>
                            <a:off x="3744" y="1968"/>
                            <a:ext cx="1066" cy="231"/>
                          </a:xfrm>
                          <a:prstGeom prst="rect">
                            <a:avLst/>
                          </a:prstGeom>
                          <a:solidFill>
                            <a:srgbClr val="FF0000"/>
                          </a:solidFill>
                          <a:ln w="9525">
                            <a:noFill/>
                            <a:miter lim="800000"/>
                            <a:headEnd/>
                            <a:tailEnd/>
                          </a:ln>
                          <a:effectLst/>
                        </a:spPr>
                        <a:txSp>
                          <a:txBody>
                            <a:bodyPr wrap="none">
                              <a:spAutoFit/>
                            </a:bodyPr>
                            <a:lstStyle>
                              <a:defPPr>
                                <a:defRPr lang="en-US"/>
                              </a:defPPr>
                              <a:lvl1pPr algn="ctr" rtl="0" eaLnBrk="0" fontAlgn="base" hangingPunct="0">
                                <a:spcBef>
                                  <a:spcPct val="0"/>
                                </a:spcBef>
                                <a:spcAft>
                                  <a:spcPct val="0"/>
                                </a:spcAft>
                                <a:defRPr kern="1200">
                                  <a:solidFill>
                                    <a:schemeClr val="tx1"/>
                                  </a:solidFill>
                                  <a:latin typeface="Verdana" pitchFamily="34" charset="0"/>
                                  <a:ea typeface="+mn-ea"/>
                                  <a:cs typeface="+mn-cs"/>
                                </a:defRPr>
                              </a:lvl1pPr>
                              <a:lvl2pPr marL="457200" algn="ctr" rtl="0" eaLnBrk="0" fontAlgn="base" hangingPunct="0">
                                <a:spcBef>
                                  <a:spcPct val="0"/>
                                </a:spcBef>
                                <a:spcAft>
                                  <a:spcPct val="0"/>
                                </a:spcAft>
                                <a:defRPr kern="1200">
                                  <a:solidFill>
                                    <a:schemeClr val="tx1"/>
                                  </a:solidFill>
                                  <a:latin typeface="Verdana" pitchFamily="34" charset="0"/>
                                  <a:ea typeface="+mn-ea"/>
                                  <a:cs typeface="+mn-cs"/>
                                </a:defRPr>
                              </a:lvl2pPr>
                              <a:lvl3pPr marL="914400" algn="ctr" rtl="0" eaLnBrk="0" fontAlgn="base" hangingPunct="0">
                                <a:spcBef>
                                  <a:spcPct val="0"/>
                                </a:spcBef>
                                <a:spcAft>
                                  <a:spcPct val="0"/>
                                </a:spcAft>
                                <a:defRPr kern="1200">
                                  <a:solidFill>
                                    <a:schemeClr val="tx1"/>
                                  </a:solidFill>
                                  <a:latin typeface="Verdana" pitchFamily="34" charset="0"/>
                                  <a:ea typeface="+mn-ea"/>
                                  <a:cs typeface="+mn-cs"/>
                                </a:defRPr>
                              </a:lvl3pPr>
                              <a:lvl4pPr marL="1371600" algn="ctr" rtl="0" eaLnBrk="0" fontAlgn="base" hangingPunct="0">
                                <a:spcBef>
                                  <a:spcPct val="0"/>
                                </a:spcBef>
                                <a:spcAft>
                                  <a:spcPct val="0"/>
                                </a:spcAft>
                                <a:defRPr kern="1200">
                                  <a:solidFill>
                                    <a:schemeClr val="tx1"/>
                                  </a:solidFill>
                                  <a:latin typeface="Verdana" pitchFamily="34" charset="0"/>
                                  <a:ea typeface="+mn-ea"/>
                                  <a:cs typeface="+mn-cs"/>
                                </a:defRPr>
                              </a:lvl4pPr>
                              <a:lvl5pPr marL="1828800" algn="ctr" rtl="0" eaLnBrk="0" fontAlgn="base" hangingPunct="0">
                                <a:spcBef>
                                  <a:spcPct val="0"/>
                                </a:spcBef>
                                <a:spcAft>
                                  <a:spcPct val="0"/>
                                </a:spcAft>
                                <a:defRPr kern="1200">
                                  <a:solidFill>
                                    <a:schemeClr val="tx1"/>
                                  </a:solidFill>
                                  <a:latin typeface="Verdana" pitchFamily="34" charset="0"/>
                                  <a:ea typeface="+mn-ea"/>
                                  <a:cs typeface="+mn-cs"/>
                                </a:defRPr>
                              </a:lvl5pPr>
                              <a:lvl6pPr marL="2286000" algn="l" defTabSz="914400" rtl="0" eaLnBrk="1" latinLnBrk="0" hangingPunct="1">
                                <a:defRPr kern="1200">
                                  <a:solidFill>
                                    <a:schemeClr val="tx1"/>
                                  </a:solidFill>
                                  <a:latin typeface="Verdana" pitchFamily="34" charset="0"/>
                                  <a:ea typeface="+mn-ea"/>
                                  <a:cs typeface="+mn-cs"/>
                                </a:defRPr>
                              </a:lvl6pPr>
                              <a:lvl7pPr marL="2743200" algn="l" defTabSz="914400" rtl="0" eaLnBrk="1" latinLnBrk="0" hangingPunct="1">
                                <a:defRPr kern="1200">
                                  <a:solidFill>
                                    <a:schemeClr val="tx1"/>
                                  </a:solidFill>
                                  <a:latin typeface="Verdana" pitchFamily="34" charset="0"/>
                                  <a:ea typeface="+mn-ea"/>
                                  <a:cs typeface="+mn-cs"/>
                                </a:defRPr>
                              </a:lvl7pPr>
                              <a:lvl8pPr marL="3200400" algn="l" defTabSz="914400" rtl="0" eaLnBrk="1" latinLnBrk="0" hangingPunct="1">
                                <a:defRPr kern="1200">
                                  <a:solidFill>
                                    <a:schemeClr val="tx1"/>
                                  </a:solidFill>
                                  <a:latin typeface="Verdana" pitchFamily="34" charset="0"/>
                                  <a:ea typeface="+mn-ea"/>
                                  <a:cs typeface="+mn-cs"/>
                                </a:defRPr>
                              </a:lvl8pPr>
                              <a:lvl9pPr marL="3657600" algn="l" defTabSz="914400" rtl="0" eaLnBrk="1" latinLnBrk="0" hangingPunct="1">
                                <a:defRPr kern="1200">
                                  <a:solidFill>
                                    <a:schemeClr val="tx1"/>
                                  </a:solidFill>
                                  <a:latin typeface="Verdana" pitchFamily="34" charset="0"/>
                                  <a:ea typeface="+mn-ea"/>
                                  <a:cs typeface="+mn-cs"/>
                                </a:defRPr>
                              </a:lvl9pPr>
                            </a:lstStyle>
                            <a:p>
                              <a:pPr algn="l"/>
                              <a:r>
                                <a:rPr lang="en-US" b="1" dirty="0">
                                  <a:solidFill>
                                    <a:schemeClr val="bg1"/>
                                  </a:solidFill>
                                </a:rPr>
                                <a:t>Bulk BSCCO</a:t>
                              </a:r>
                            </a:p>
                          </a:txBody>
                          <a:useSpRect/>
                        </a:txSp>
                      </a:sp>
                    </a:grpSp>
                  </a:grpSp>
                </lc:lockedCanvas>
              </a:graphicData>
            </a:graphic>
          </wp:inline>
        </w:drawing>
      </w:r>
    </w:p>
    <w:p w:rsidR="00D35A55" w:rsidRDefault="00D35A55" w:rsidP="00D35A55">
      <w:pPr>
        <w:pStyle w:val="BodyText"/>
        <w:spacing w:before="2"/>
        <w:jc w:val="center"/>
        <w:rPr>
          <w:rFonts w:ascii="Arial"/>
          <w:i/>
          <w:sz w:val="16"/>
          <w:szCs w:val="16"/>
          <w:lang w:val="id-ID"/>
        </w:rPr>
      </w:pPr>
      <w:r>
        <w:rPr>
          <w:rFonts w:ascii="Arial"/>
          <w:i/>
          <w:sz w:val="16"/>
          <w:szCs w:val="16"/>
          <w:lang w:val="id-ID"/>
        </w:rPr>
        <w:t xml:space="preserve">       </w:t>
      </w:r>
      <w:r w:rsidRPr="00D35A55">
        <w:rPr>
          <w:rFonts w:ascii="Arial"/>
          <w:i/>
          <w:sz w:val="16"/>
          <w:szCs w:val="16"/>
          <w:lang w:val="id-ID"/>
        </w:rPr>
        <w:t xml:space="preserve">Fig. 1 </w:t>
      </w:r>
      <w:r>
        <w:rPr>
          <w:rFonts w:ascii="Arial"/>
          <w:i/>
          <w:sz w:val="16"/>
          <w:szCs w:val="16"/>
          <w:lang w:val="id-ID"/>
        </w:rPr>
        <w:t xml:space="preserve"> </w:t>
      </w:r>
      <w:r w:rsidRPr="00D35A55">
        <w:rPr>
          <w:rFonts w:ascii="Arial"/>
          <w:i/>
          <w:sz w:val="16"/>
          <w:szCs w:val="16"/>
          <w:lang w:val="id-ID"/>
        </w:rPr>
        <w:t>Magnetic properties of nano-BSCCO (Bi</w:t>
      </w:r>
      <w:r w:rsidRPr="00D35A55">
        <w:rPr>
          <w:rFonts w:ascii="Arial"/>
          <w:i/>
          <w:sz w:val="16"/>
          <w:szCs w:val="16"/>
          <w:vertAlign w:val="subscript"/>
          <w:lang w:val="id-ID"/>
        </w:rPr>
        <w:t>2</w:t>
      </w:r>
      <w:r w:rsidRPr="00D35A55">
        <w:rPr>
          <w:rFonts w:ascii="Arial"/>
          <w:i/>
          <w:sz w:val="16"/>
          <w:szCs w:val="16"/>
          <w:lang w:val="id-ID"/>
        </w:rPr>
        <w:t>Sr</w:t>
      </w:r>
      <w:r w:rsidRPr="00D35A55">
        <w:rPr>
          <w:rFonts w:ascii="Arial"/>
          <w:i/>
          <w:sz w:val="16"/>
          <w:szCs w:val="16"/>
          <w:vertAlign w:val="subscript"/>
          <w:lang w:val="id-ID"/>
        </w:rPr>
        <w:t>2</w:t>
      </w:r>
      <w:r w:rsidRPr="00D35A55">
        <w:rPr>
          <w:rFonts w:ascii="Arial"/>
          <w:i/>
          <w:sz w:val="16"/>
          <w:szCs w:val="16"/>
          <w:lang w:val="id-ID"/>
        </w:rPr>
        <w:t>CaCu</w:t>
      </w:r>
      <w:r w:rsidRPr="00D35A55">
        <w:rPr>
          <w:rFonts w:ascii="Arial"/>
          <w:i/>
          <w:sz w:val="16"/>
          <w:szCs w:val="16"/>
          <w:vertAlign w:val="subscript"/>
          <w:lang w:val="id-ID"/>
        </w:rPr>
        <w:t>2</w:t>
      </w:r>
      <w:r w:rsidRPr="00D35A55">
        <w:rPr>
          <w:rFonts w:ascii="Arial"/>
          <w:i/>
          <w:sz w:val="16"/>
          <w:szCs w:val="16"/>
          <w:lang w:val="id-ID"/>
        </w:rPr>
        <w:t>O</w:t>
      </w:r>
      <w:r w:rsidRPr="00D35A55">
        <w:rPr>
          <w:rFonts w:ascii="Arial"/>
          <w:i/>
          <w:sz w:val="16"/>
          <w:szCs w:val="16"/>
          <w:vertAlign w:val="subscript"/>
          <w:lang w:val="id-ID"/>
        </w:rPr>
        <w:t>8+d</w:t>
      </w:r>
      <w:r w:rsidRPr="00D35A55">
        <w:rPr>
          <w:rFonts w:ascii="Arial"/>
          <w:i/>
          <w:sz w:val="16"/>
          <w:szCs w:val="16"/>
          <w:lang w:val="id-ID"/>
        </w:rPr>
        <w:t>)</w:t>
      </w:r>
      <w:r>
        <w:rPr>
          <w:rFonts w:ascii="Arial"/>
          <w:i/>
          <w:sz w:val="16"/>
          <w:szCs w:val="16"/>
          <w:lang w:val="id-ID"/>
        </w:rPr>
        <w:t xml:space="preserve"> </w:t>
      </w:r>
    </w:p>
    <w:p w:rsidR="00D35A55" w:rsidRPr="00D35A55" w:rsidRDefault="00D35A55" w:rsidP="00D35A55">
      <w:pPr>
        <w:pStyle w:val="BodyText"/>
        <w:spacing w:before="2"/>
        <w:rPr>
          <w:rFonts w:ascii="Arial"/>
          <w:i/>
          <w:sz w:val="16"/>
          <w:szCs w:val="16"/>
          <w:lang w:val="id-ID"/>
        </w:rPr>
      </w:pPr>
      <w:r>
        <w:rPr>
          <w:rFonts w:ascii="Arial"/>
          <w:i/>
          <w:sz w:val="16"/>
          <w:szCs w:val="16"/>
          <w:lang w:val="id-ID"/>
        </w:rPr>
        <w:t xml:space="preserve">                         at normal state, compared with its bulk.</w:t>
      </w:r>
    </w:p>
    <w:p w:rsidR="00D35A55" w:rsidRDefault="00D35A55">
      <w:pPr>
        <w:pStyle w:val="BodyText"/>
        <w:spacing w:before="2"/>
        <w:rPr>
          <w:rFonts w:ascii="Arial"/>
          <w:b/>
          <w:sz w:val="16"/>
          <w:lang w:val="id-ID"/>
        </w:rPr>
      </w:pPr>
    </w:p>
    <w:p w:rsidR="005973B9" w:rsidRPr="00000BA4" w:rsidRDefault="00000BA4" w:rsidP="005973B9">
      <w:pPr>
        <w:spacing w:line="204" w:lineRule="exact"/>
        <w:rPr>
          <w:rFonts w:ascii="Arial"/>
          <w:b/>
          <w:color w:val="BF5A14"/>
          <w:sz w:val="20"/>
          <w:lang w:val="id-ID"/>
        </w:rPr>
      </w:pPr>
      <w:r>
        <w:rPr>
          <w:rFonts w:ascii="Arial"/>
          <w:b/>
          <w:color w:val="BF5A14"/>
          <w:sz w:val="20"/>
          <w:lang w:val="id-ID"/>
        </w:rPr>
        <w:t xml:space="preserve">  </w:t>
      </w:r>
      <w:r w:rsidR="005973B9">
        <w:rPr>
          <w:rFonts w:ascii="Arial"/>
          <w:b/>
          <w:color w:val="BF5A14"/>
          <w:sz w:val="20"/>
        </w:rPr>
        <w:t xml:space="preserve">Recent Publications </w:t>
      </w:r>
    </w:p>
    <w:p w:rsidR="00420257" w:rsidRDefault="00D35A55" w:rsidP="005973B9">
      <w:pPr>
        <w:pStyle w:val="ListParagraph"/>
        <w:numPr>
          <w:ilvl w:val="0"/>
          <w:numId w:val="3"/>
        </w:numPr>
        <w:tabs>
          <w:tab w:val="left" w:pos="384"/>
        </w:tabs>
        <w:spacing w:before="103" w:line="216" w:lineRule="exact"/>
        <w:ind w:right="138" w:hanging="283"/>
        <w:rPr>
          <w:rFonts w:ascii="Arial" w:hAnsi="Arial" w:cs="Arial"/>
          <w:color w:val="323232"/>
          <w:sz w:val="15"/>
          <w:szCs w:val="15"/>
          <w:shd w:val="clear" w:color="auto" w:fill="FFFFFF"/>
        </w:rPr>
      </w:pPr>
      <w:r>
        <w:rPr>
          <w:rStyle w:val="previewtxt"/>
          <w:rFonts w:ascii="Arial" w:hAnsi="Arial" w:cs="Arial"/>
          <w:color w:val="323232"/>
          <w:sz w:val="15"/>
          <w:szCs w:val="15"/>
          <w:shd w:val="clear" w:color="auto" w:fill="FFFFFF"/>
        </w:rPr>
        <w:t>Sunaryono</w:t>
      </w:r>
      <w:r>
        <w:rPr>
          <w:rFonts w:ascii="Arial" w:hAnsi="Arial" w:cs="Arial"/>
          <w:color w:val="C0C0C0"/>
          <w:sz w:val="15"/>
          <w:szCs w:val="15"/>
          <w:shd w:val="clear" w:color="auto" w:fill="FFFFFF"/>
        </w:rPr>
        <w:t>,</w:t>
      </w:r>
      <w:r w:rsidR="00420257">
        <w:rPr>
          <w:rStyle w:val="previewtxt"/>
          <w:rFonts w:ascii="Arial" w:hAnsi="Arial" w:cs="Arial"/>
          <w:color w:val="323232"/>
          <w:sz w:val="15"/>
          <w:szCs w:val="15"/>
          <w:shd w:val="clear" w:color="auto" w:fill="FFFFFF"/>
        </w:rPr>
        <w:t xml:space="preserve"> </w:t>
      </w:r>
      <w:r>
        <w:rPr>
          <w:rStyle w:val="previewtxt"/>
          <w:rFonts w:ascii="Arial" w:hAnsi="Arial" w:cs="Arial"/>
          <w:color w:val="323232"/>
          <w:sz w:val="15"/>
          <w:szCs w:val="15"/>
          <w:shd w:val="clear" w:color="auto" w:fill="FFFFFF"/>
        </w:rPr>
        <w:t>Darminto</w:t>
      </w:r>
      <w:r w:rsidR="00420257">
        <w:rPr>
          <w:rStyle w:val="previewtxt"/>
          <w:rFonts w:ascii="Arial" w:hAnsi="Arial" w:cs="Arial"/>
          <w:color w:val="323232"/>
          <w:sz w:val="15"/>
          <w:szCs w:val="15"/>
          <w:shd w:val="clear" w:color="auto" w:fill="FFFFFF"/>
          <w:lang w:val="id-ID"/>
        </w:rPr>
        <w:t xml:space="preserve">, et al. (2018), </w:t>
      </w:r>
      <w:r w:rsidR="00420257">
        <w:rPr>
          <w:rFonts w:ascii="Arial" w:hAnsi="Arial" w:cs="Arial"/>
          <w:color w:val="323232"/>
          <w:sz w:val="15"/>
          <w:szCs w:val="15"/>
          <w:shd w:val="clear" w:color="auto" w:fill="FFFFFF"/>
        </w:rPr>
        <w:t>Contributions of TMAH Surfactant on Hierarchical Structures of PVA/Fe</w:t>
      </w:r>
      <w:r w:rsidR="00420257" w:rsidRPr="00420257">
        <w:rPr>
          <w:vertAlign w:val="subscript"/>
          <w:lang w:val="id-ID"/>
        </w:rPr>
        <w:t>3</w:t>
      </w:r>
      <w:r w:rsidR="00420257">
        <w:rPr>
          <w:rFonts w:ascii="Arial" w:hAnsi="Arial" w:cs="Arial"/>
          <w:color w:val="323232"/>
          <w:sz w:val="15"/>
          <w:szCs w:val="15"/>
          <w:shd w:val="clear" w:color="auto" w:fill="FFFFFF"/>
        </w:rPr>
        <w:t>O</w:t>
      </w:r>
      <w:r w:rsidR="00420257" w:rsidRPr="00420257">
        <w:rPr>
          <w:vertAlign w:val="subscript"/>
        </w:rPr>
        <w:t>4</w:t>
      </w:r>
      <w:r w:rsidR="00420257">
        <w:rPr>
          <w:rFonts w:ascii="Arial" w:hAnsi="Arial" w:cs="Arial"/>
          <w:color w:val="323232"/>
          <w:sz w:val="15"/>
          <w:szCs w:val="15"/>
          <w:shd w:val="clear" w:color="auto" w:fill="FFFFFF"/>
        </w:rPr>
        <w:t>–TMAH Ferrogels by Using SAXS Instrument</w:t>
      </w:r>
      <w:r w:rsidR="00420257">
        <w:rPr>
          <w:rFonts w:ascii="Arial" w:hAnsi="Arial" w:cs="Arial"/>
          <w:color w:val="323232"/>
          <w:sz w:val="15"/>
          <w:szCs w:val="15"/>
          <w:shd w:val="clear" w:color="auto" w:fill="FFFFFF"/>
          <w:lang w:val="id-ID"/>
        </w:rPr>
        <w:t xml:space="preserve">, </w:t>
      </w:r>
      <w:r w:rsidR="00420257" w:rsidRPr="00420257">
        <w:rPr>
          <w:rFonts w:ascii="Arial" w:eastAsia="Times New Roman" w:hAnsi="Arial" w:cs="Arial"/>
          <w:i/>
          <w:color w:val="323232"/>
          <w:sz w:val="15"/>
          <w:szCs w:val="15"/>
          <w:lang w:val="id-ID" w:eastAsia="id-ID"/>
        </w:rPr>
        <w:t>Journal of Inorganic and Organometallic Polymers and Materials</w:t>
      </w:r>
      <w:r w:rsidR="00420257">
        <w:rPr>
          <w:rFonts w:ascii="Arial" w:eastAsia="Times New Roman" w:hAnsi="Arial" w:cs="Arial"/>
          <w:color w:val="323232"/>
          <w:sz w:val="15"/>
          <w:szCs w:val="15"/>
          <w:lang w:val="id-ID" w:eastAsia="id-ID"/>
        </w:rPr>
        <w:t xml:space="preserve">, </w:t>
      </w:r>
      <w:r w:rsidR="00420257" w:rsidRPr="00420257">
        <w:rPr>
          <w:rFonts w:ascii="Arial" w:eastAsia="Times New Roman" w:hAnsi="Arial" w:cs="Arial"/>
          <w:color w:val="323232"/>
          <w:sz w:val="15"/>
          <w:szCs w:val="15"/>
          <w:lang w:val="id-ID" w:eastAsia="id-ID"/>
        </w:rPr>
        <w:t>doi.org/10.1007/s10904-018-0939-z</w:t>
      </w:r>
      <w:r w:rsidR="00420257">
        <w:rPr>
          <w:rFonts w:ascii="Arial" w:eastAsia="Times New Roman" w:hAnsi="Arial" w:cs="Arial"/>
          <w:color w:val="323232"/>
          <w:sz w:val="15"/>
          <w:szCs w:val="15"/>
          <w:lang w:val="id-ID" w:eastAsia="id-ID"/>
        </w:rPr>
        <w:t>.</w:t>
      </w:r>
    </w:p>
    <w:tbl>
      <w:tblPr>
        <w:tblW w:w="12367" w:type="dxa"/>
        <w:shd w:val="clear" w:color="auto" w:fill="FFFFFF"/>
        <w:tblCellMar>
          <w:top w:w="15" w:type="dxa"/>
          <w:left w:w="15" w:type="dxa"/>
          <w:bottom w:w="15" w:type="dxa"/>
          <w:right w:w="15" w:type="dxa"/>
        </w:tblCellMar>
        <w:tblLook w:val="04A0"/>
      </w:tblPr>
      <w:tblGrid>
        <w:gridCol w:w="6183"/>
        <w:gridCol w:w="6184"/>
      </w:tblGrid>
      <w:tr w:rsidR="00420257" w:rsidRPr="00420257" w:rsidTr="00420257">
        <w:tc>
          <w:tcPr>
            <w:tcW w:w="0" w:type="auto"/>
            <w:tcBorders>
              <w:top w:val="nil"/>
              <w:left w:val="nil"/>
              <w:bottom w:val="nil"/>
              <w:right w:val="nil"/>
            </w:tcBorders>
            <w:shd w:val="clear" w:color="auto" w:fill="FFFFFF"/>
            <w:hideMark/>
          </w:tcPr>
          <w:p w:rsidR="00420257" w:rsidRPr="00420257" w:rsidRDefault="00420257" w:rsidP="00420257">
            <w:pPr>
              <w:widowControl/>
              <w:rPr>
                <w:rFonts w:ascii="Arial" w:eastAsia="Times New Roman" w:hAnsi="Arial" w:cs="Arial"/>
                <w:color w:val="323232"/>
                <w:sz w:val="15"/>
                <w:szCs w:val="15"/>
                <w:lang w:val="id-ID" w:eastAsia="id-ID"/>
              </w:rPr>
            </w:pPr>
          </w:p>
        </w:tc>
        <w:tc>
          <w:tcPr>
            <w:tcW w:w="0" w:type="auto"/>
            <w:tcBorders>
              <w:top w:val="nil"/>
              <w:left w:val="nil"/>
              <w:bottom w:val="nil"/>
              <w:right w:val="nil"/>
            </w:tcBorders>
            <w:shd w:val="clear" w:color="auto" w:fill="FFFFFF"/>
            <w:hideMark/>
          </w:tcPr>
          <w:p w:rsidR="00420257" w:rsidRPr="00420257" w:rsidRDefault="00420257" w:rsidP="00420257">
            <w:pPr>
              <w:widowControl/>
              <w:rPr>
                <w:rFonts w:ascii="Arial" w:eastAsia="Times New Roman" w:hAnsi="Arial" w:cs="Arial"/>
                <w:color w:val="323232"/>
                <w:sz w:val="15"/>
                <w:szCs w:val="15"/>
                <w:lang w:val="id-ID" w:eastAsia="id-ID"/>
              </w:rPr>
            </w:pPr>
          </w:p>
        </w:tc>
      </w:tr>
    </w:tbl>
    <w:p w:rsidR="005973B9" w:rsidRDefault="00420257" w:rsidP="005973B9">
      <w:pPr>
        <w:pStyle w:val="ListParagraph"/>
        <w:numPr>
          <w:ilvl w:val="0"/>
          <w:numId w:val="3"/>
        </w:numPr>
        <w:tabs>
          <w:tab w:val="left" w:pos="384"/>
        </w:tabs>
        <w:spacing w:before="103" w:line="216" w:lineRule="exact"/>
        <w:ind w:right="138" w:hanging="283"/>
        <w:rPr>
          <w:sz w:val="18"/>
        </w:rPr>
      </w:pPr>
      <w:r>
        <w:rPr>
          <w:rStyle w:val="previewtxt"/>
          <w:rFonts w:ascii="Arial" w:hAnsi="Arial" w:cs="Arial"/>
          <w:color w:val="323232"/>
          <w:sz w:val="15"/>
          <w:szCs w:val="15"/>
          <w:shd w:val="clear" w:color="auto" w:fill="FFFFFF"/>
        </w:rPr>
        <w:t>Darminto</w:t>
      </w:r>
      <w:r>
        <w:rPr>
          <w:rFonts w:ascii="Arial" w:hAnsi="Arial" w:cs="Arial"/>
          <w:color w:val="C0C0C0"/>
          <w:sz w:val="15"/>
          <w:szCs w:val="15"/>
          <w:shd w:val="clear" w:color="auto" w:fill="FFFFFF"/>
        </w:rPr>
        <w:t>, </w:t>
      </w:r>
      <w:r>
        <w:rPr>
          <w:rStyle w:val="previewtxt"/>
          <w:rFonts w:ascii="Arial" w:hAnsi="Arial" w:cs="Arial"/>
          <w:color w:val="323232"/>
          <w:sz w:val="15"/>
          <w:szCs w:val="15"/>
          <w:shd w:val="clear" w:color="auto" w:fill="FFFFFF"/>
          <w:lang w:val="id-ID"/>
        </w:rPr>
        <w:t xml:space="preserve">et al. (2018), </w:t>
      </w:r>
      <w:r>
        <w:rPr>
          <w:rFonts w:ascii="Arial" w:hAnsi="Arial" w:cs="Arial"/>
          <w:color w:val="323232"/>
          <w:sz w:val="15"/>
          <w:szCs w:val="15"/>
          <w:shd w:val="clear" w:color="auto" w:fill="FFFFFF"/>
        </w:rPr>
        <w:t>Enhanced Magnetism by Temperature Induced Defects in Reduced Graphene Oxide Prepared from Coconut Shells</w:t>
      </w:r>
      <w:r>
        <w:rPr>
          <w:rFonts w:ascii="Arial" w:hAnsi="Arial" w:cs="Arial"/>
          <w:color w:val="323232"/>
          <w:sz w:val="15"/>
          <w:szCs w:val="15"/>
          <w:shd w:val="clear" w:color="auto" w:fill="FFFFFF"/>
          <w:lang w:val="id-ID"/>
        </w:rPr>
        <w:t xml:space="preserve">, </w:t>
      </w:r>
      <w:r w:rsidRPr="00202D3E">
        <w:rPr>
          <w:rFonts w:ascii="Arial" w:hAnsi="Arial" w:cs="Arial"/>
          <w:i/>
          <w:color w:val="323232"/>
          <w:sz w:val="15"/>
          <w:szCs w:val="15"/>
          <w:shd w:val="clear" w:color="auto" w:fill="FFFFFF"/>
          <w:lang w:val="id-ID"/>
        </w:rPr>
        <w:t>IEEE Trans</w:t>
      </w:r>
      <w:r w:rsidR="00202D3E" w:rsidRPr="00202D3E">
        <w:rPr>
          <w:rFonts w:ascii="Arial" w:hAnsi="Arial" w:cs="Arial"/>
          <w:i/>
          <w:color w:val="323232"/>
          <w:sz w:val="15"/>
          <w:szCs w:val="15"/>
          <w:shd w:val="clear" w:color="auto" w:fill="FFFFFF"/>
          <w:lang w:val="id-ID"/>
        </w:rPr>
        <w:t xml:space="preserve">actions </w:t>
      </w:r>
      <w:r w:rsidRPr="00202D3E">
        <w:rPr>
          <w:rFonts w:ascii="Arial" w:hAnsi="Arial" w:cs="Arial"/>
          <w:i/>
          <w:color w:val="323232"/>
          <w:sz w:val="15"/>
          <w:szCs w:val="15"/>
          <w:shd w:val="clear" w:color="auto" w:fill="FFFFFF"/>
          <w:lang w:val="id-ID"/>
        </w:rPr>
        <w:t>on Magn</w:t>
      </w:r>
      <w:r w:rsidR="00202D3E" w:rsidRPr="00202D3E">
        <w:rPr>
          <w:rFonts w:ascii="Arial" w:hAnsi="Arial" w:cs="Arial"/>
          <w:i/>
          <w:color w:val="323232"/>
          <w:sz w:val="15"/>
          <w:szCs w:val="15"/>
          <w:shd w:val="clear" w:color="auto" w:fill="FFFFFF"/>
          <w:lang w:val="id-ID"/>
        </w:rPr>
        <w:t>etics</w:t>
      </w:r>
      <w:r w:rsidR="00202D3E">
        <w:rPr>
          <w:rFonts w:ascii="Arial" w:hAnsi="Arial" w:cs="Arial"/>
          <w:color w:val="323232"/>
          <w:sz w:val="15"/>
          <w:szCs w:val="15"/>
          <w:shd w:val="clear" w:color="auto" w:fill="FFFFFF"/>
          <w:lang w:val="id-ID"/>
        </w:rPr>
        <w:t>, 54:10, 1600105</w:t>
      </w:r>
      <w:r>
        <w:rPr>
          <w:rFonts w:ascii="Arial" w:hAnsi="Arial" w:cs="Arial"/>
          <w:color w:val="323232"/>
          <w:sz w:val="15"/>
          <w:szCs w:val="15"/>
          <w:shd w:val="clear" w:color="auto" w:fill="FFFFFF"/>
          <w:lang w:val="id-ID"/>
        </w:rPr>
        <w:t>.</w:t>
      </w:r>
    </w:p>
    <w:p w:rsidR="00000BA4" w:rsidRPr="00000BA4" w:rsidRDefault="00202D3E" w:rsidP="005973B9">
      <w:pPr>
        <w:pStyle w:val="ListParagraph"/>
        <w:numPr>
          <w:ilvl w:val="0"/>
          <w:numId w:val="3"/>
        </w:numPr>
        <w:tabs>
          <w:tab w:val="left" w:pos="384"/>
        </w:tabs>
        <w:spacing w:before="92" w:line="218" w:lineRule="exact"/>
        <w:ind w:right="138" w:hanging="283"/>
        <w:rPr>
          <w:sz w:val="18"/>
        </w:rPr>
      </w:pPr>
      <w:r w:rsidRPr="00202D3E">
        <w:rPr>
          <w:rStyle w:val="previewtxt"/>
          <w:rFonts w:ascii="Arial" w:hAnsi="Arial" w:cs="Arial"/>
          <w:color w:val="323232"/>
          <w:sz w:val="15"/>
          <w:szCs w:val="15"/>
          <w:shd w:val="clear" w:color="auto" w:fill="FFFFFF"/>
        </w:rPr>
        <w:t>Cahyono, Y.</w:t>
      </w:r>
      <w:r w:rsidRPr="00202D3E">
        <w:rPr>
          <w:rFonts w:ascii="Arial" w:hAnsi="Arial" w:cs="Arial"/>
          <w:color w:val="C0C0C0"/>
          <w:sz w:val="15"/>
          <w:szCs w:val="15"/>
          <w:shd w:val="clear" w:color="auto" w:fill="FFFFFF"/>
        </w:rPr>
        <w:t>, </w:t>
      </w:r>
      <w:r w:rsidRPr="00202D3E">
        <w:rPr>
          <w:rStyle w:val="previewtxt"/>
          <w:rFonts w:ascii="Arial" w:hAnsi="Arial" w:cs="Arial"/>
          <w:color w:val="323232"/>
          <w:sz w:val="15"/>
          <w:szCs w:val="15"/>
          <w:shd w:val="clear" w:color="auto" w:fill="FFFFFF"/>
        </w:rPr>
        <w:t>Yahya, E.</w:t>
      </w:r>
      <w:r w:rsidRPr="00202D3E">
        <w:rPr>
          <w:rFonts w:ascii="Arial" w:hAnsi="Arial" w:cs="Arial"/>
          <w:color w:val="C0C0C0"/>
          <w:sz w:val="15"/>
          <w:szCs w:val="15"/>
          <w:shd w:val="clear" w:color="auto" w:fill="FFFFFF"/>
        </w:rPr>
        <w:t>, </w:t>
      </w:r>
      <w:r w:rsidRPr="00202D3E">
        <w:rPr>
          <w:rStyle w:val="previewtxt"/>
          <w:rFonts w:ascii="Arial" w:hAnsi="Arial" w:cs="Arial"/>
          <w:color w:val="323232"/>
          <w:sz w:val="15"/>
          <w:szCs w:val="15"/>
          <w:shd w:val="clear" w:color="auto" w:fill="FFFFFF"/>
        </w:rPr>
        <w:t>Zainuri, M.</w:t>
      </w:r>
      <w:r w:rsidRPr="00202D3E">
        <w:rPr>
          <w:rFonts w:ascii="Arial" w:hAnsi="Arial" w:cs="Arial"/>
          <w:color w:val="C0C0C0"/>
          <w:sz w:val="15"/>
          <w:szCs w:val="15"/>
          <w:shd w:val="clear" w:color="auto" w:fill="FFFFFF"/>
        </w:rPr>
        <w:t>, </w:t>
      </w:r>
      <w:r w:rsidRPr="00202D3E">
        <w:rPr>
          <w:rStyle w:val="previewtxt"/>
          <w:rFonts w:ascii="Arial" w:hAnsi="Arial" w:cs="Arial"/>
          <w:color w:val="323232"/>
          <w:sz w:val="15"/>
          <w:szCs w:val="15"/>
          <w:shd w:val="clear" w:color="auto" w:fill="FFFFFF"/>
        </w:rPr>
        <w:t>Pratapa, S.</w:t>
      </w:r>
      <w:r w:rsidRPr="00202D3E">
        <w:rPr>
          <w:rFonts w:ascii="Arial" w:hAnsi="Arial" w:cs="Arial"/>
          <w:color w:val="C0C0C0"/>
          <w:sz w:val="15"/>
          <w:szCs w:val="15"/>
          <w:shd w:val="clear" w:color="auto" w:fill="FFFFFF"/>
        </w:rPr>
        <w:t>, </w:t>
      </w:r>
      <w:r w:rsidRPr="00202D3E">
        <w:rPr>
          <w:rStyle w:val="previewtxt"/>
          <w:rFonts w:ascii="Arial" w:hAnsi="Arial" w:cs="Arial"/>
          <w:color w:val="323232"/>
          <w:sz w:val="15"/>
          <w:szCs w:val="15"/>
          <w:shd w:val="clear" w:color="auto" w:fill="FFFFFF"/>
        </w:rPr>
        <w:t>Darminto</w:t>
      </w:r>
      <w:r w:rsidRPr="00202D3E">
        <w:rPr>
          <w:rStyle w:val="previewtxt"/>
          <w:rFonts w:ascii="Arial" w:hAnsi="Arial" w:cs="Arial"/>
          <w:color w:val="323232"/>
          <w:sz w:val="15"/>
          <w:szCs w:val="15"/>
          <w:shd w:val="clear" w:color="auto" w:fill="FFFFFF"/>
          <w:lang w:val="id-ID"/>
        </w:rPr>
        <w:t xml:space="preserve"> (2018),</w:t>
      </w:r>
      <w:r w:rsidRPr="00202D3E">
        <w:rPr>
          <w:sz w:val="18"/>
        </w:rPr>
        <w:t xml:space="preserve"> </w:t>
      </w:r>
      <w:r w:rsidR="00000BA4">
        <w:rPr>
          <w:rFonts w:ascii="Arial" w:hAnsi="Arial" w:cs="Arial"/>
          <w:color w:val="323232"/>
          <w:sz w:val="15"/>
          <w:szCs w:val="15"/>
          <w:shd w:val="clear" w:color="auto" w:fill="FFFFFF"/>
        </w:rPr>
        <w:t>Quantum Confinement in an Intrinsic a-Si:H Thin Film Deposited on Soda Lime Glass Substrate Using PECVD</w:t>
      </w:r>
      <w:r w:rsidR="00000BA4">
        <w:rPr>
          <w:rFonts w:ascii="Arial" w:hAnsi="Arial" w:cs="Arial"/>
          <w:color w:val="323232"/>
          <w:sz w:val="15"/>
          <w:szCs w:val="15"/>
          <w:shd w:val="clear" w:color="auto" w:fill="FFFFFF"/>
          <w:lang w:val="id-ID"/>
        </w:rPr>
        <w:t xml:space="preserve">, </w:t>
      </w:r>
      <w:r w:rsidR="00000BA4" w:rsidRPr="00000BA4">
        <w:rPr>
          <w:rFonts w:ascii="Arial" w:hAnsi="Arial" w:cs="Arial"/>
          <w:i/>
          <w:color w:val="323232"/>
          <w:sz w:val="15"/>
          <w:szCs w:val="15"/>
          <w:shd w:val="clear" w:color="auto" w:fill="FFFFFF"/>
        </w:rPr>
        <w:t>Transactions on Electrical and Electronic Materials</w:t>
      </w:r>
      <w:r w:rsidR="00000BA4">
        <w:rPr>
          <w:rFonts w:ascii="Arial" w:hAnsi="Arial" w:cs="Arial"/>
          <w:color w:val="323232"/>
          <w:sz w:val="15"/>
          <w:szCs w:val="15"/>
          <w:shd w:val="clear" w:color="auto" w:fill="FFFFFF"/>
          <w:lang w:val="id-ID"/>
        </w:rPr>
        <w:t xml:space="preserve">, </w:t>
      </w:r>
      <w:r w:rsidR="00000BA4" w:rsidRPr="00000BA4">
        <w:rPr>
          <w:rFonts w:ascii="Arial" w:hAnsi="Arial" w:cs="Arial"/>
          <w:color w:val="323232"/>
          <w:sz w:val="15"/>
          <w:szCs w:val="15"/>
          <w:shd w:val="clear" w:color="auto" w:fill="FFFFFF"/>
          <w:lang w:val="id-ID"/>
        </w:rPr>
        <w:t>doi.org/10.1007/s42341-018-0002-3</w:t>
      </w:r>
      <w:r w:rsidR="00000BA4">
        <w:rPr>
          <w:rFonts w:ascii="Arial" w:hAnsi="Arial" w:cs="Arial"/>
          <w:color w:val="323232"/>
          <w:sz w:val="15"/>
          <w:szCs w:val="15"/>
          <w:shd w:val="clear" w:color="auto" w:fill="FFFFFF"/>
          <w:lang w:val="id-ID"/>
        </w:rPr>
        <w:t>.</w:t>
      </w:r>
    </w:p>
    <w:p w:rsidR="005973B9" w:rsidRPr="00000BA4" w:rsidRDefault="00000BA4" w:rsidP="005973B9">
      <w:pPr>
        <w:pStyle w:val="ListParagraph"/>
        <w:numPr>
          <w:ilvl w:val="0"/>
          <w:numId w:val="3"/>
        </w:numPr>
        <w:tabs>
          <w:tab w:val="left" w:pos="384"/>
        </w:tabs>
        <w:spacing w:before="92" w:line="218" w:lineRule="exact"/>
        <w:ind w:right="138" w:hanging="283"/>
        <w:rPr>
          <w:sz w:val="18"/>
        </w:rPr>
      </w:pPr>
      <w:r w:rsidRPr="00000BA4">
        <w:rPr>
          <w:rStyle w:val="previewtxt"/>
          <w:rFonts w:ascii="Arial" w:hAnsi="Arial" w:cs="Arial"/>
          <w:color w:val="323232"/>
          <w:sz w:val="15"/>
          <w:szCs w:val="15"/>
          <w:shd w:val="clear" w:color="auto" w:fill="FFFFFF"/>
        </w:rPr>
        <w:t>Mashuri,</w:t>
      </w:r>
      <w:r>
        <w:rPr>
          <w:rStyle w:val="previewtxt"/>
          <w:rFonts w:ascii="Arial" w:hAnsi="Arial" w:cs="Arial"/>
          <w:color w:val="323232"/>
          <w:sz w:val="15"/>
          <w:szCs w:val="15"/>
          <w:shd w:val="clear" w:color="auto" w:fill="FFFFFF"/>
          <w:lang w:val="id-ID"/>
        </w:rPr>
        <w:t xml:space="preserve"> </w:t>
      </w:r>
      <w:r w:rsidRPr="00000BA4">
        <w:rPr>
          <w:rStyle w:val="previewtxt"/>
          <w:rFonts w:ascii="Arial" w:hAnsi="Arial" w:cs="Arial"/>
          <w:color w:val="323232"/>
          <w:sz w:val="15"/>
          <w:szCs w:val="15"/>
          <w:shd w:val="clear" w:color="auto" w:fill="FFFFFF"/>
        </w:rPr>
        <w:t>Lestari, W.</w:t>
      </w:r>
      <w:r w:rsidRPr="00000BA4">
        <w:rPr>
          <w:rFonts w:ascii="Arial" w:hAnsi="Arial" w:cs="Arial"/>
          <w:color w:val="C0C0C0"/>
          <w:sz w:val="15"/>
          <w:szCs w:val="15"/>
          <w:shd w:val="clear" w:color="auto" w:fill="FFFFFF"/>
        </w:rPr>
        <w:t>, </w:t>
      </w:r>
      <w:r w:rsidRPr="00000BA4">
        <w:rPr>
          <w:rStyle w:val="previewtxt"/>
          <w:rFonts w:ascii="Arial" w:hAnsi="Arial" w:cs="Arial"/>
          <w:color w:val="323232"/>
          <w:sz w:val="15"/>
          <w:szCs w:val="15"/>
          <w:shd w:val="clear" w:color="auto" w:fill="FFFFFF"/>
        </w:rPr>
        <w:t>Triwikantoro, Darminto</w:t>
      </w:r>
      <w:r>
        <w:rPr>
          <w:rStyle w:val="previewtxt"/>
          <w:rFonts w:ascii="Arial" w:hAnsi="Arial" w:cs="Arial"/>
          <w:color w:val="323232"/>
          <w:sz w:val="15"/>
          <w:szCs w:val="15"/>
          <w:shd w:val="clear" w:color="auto" w:fill="FFFFFF"/>
          <w:lang w:val="id-ID"/>
        </w:rPr>
        <w:t xml:space="preserve"> (2018), </w:t>
      </w:r>
      <w:r>
        <w:rPr>
          <w:rFonts w:ascii="Arial" w:hAnsi="Arial" w:cs="Arial"/>
          <w:color w:val="323232"/>
          <w:sz w:val="15"/>
          <w:szCs w:val="15"/>
          <w:shd w:val="clear" w:color="auto" w:fill="FFFFFF"/>
        </w:rPr>
        <w:t>Preparation and microwave absorbing properties in the X-band of natural ferrites from iron sands by high energy milling</w:t>
      </w:r>
      <w:r>
        <w:rPr>
          <w:rFonts w:ascii="Arial" w:hAnsi="Arial" w:cs="Arial"/>
          <w:color w:val="323232"/>
          <w:sz w:val="15"/>
          <w:szCs w:val="15"/>
          <w:shd w:val="clear" w:color="auto" w:fill="FFFFFF"/>
          <w:lang w:val="id-ID"/>
        </w:rPr>
        <w:t xml:space="preserve">, </w:t>
      </w:r>
      <w:r w:rsidRPr="00000BA4">
        <w:rPr>
          <w:rFonts w:ascii="Arial" w:hAnsi="Arial" w:cs="Arial"/>
          <w:i/>
          <w:color w:val="323232"/>
          <w:sz w:val="15"/>
          <w:szCs w:val="15"/>
          <w:shd w:val="clear" w:color="auto" w:fill="FFFFFF"/>
        </w:rPr>
        <w:t>Materials Research Express</w:t>
      </w:r>
      <w:r>
        <w:rPr>
          <w:rFonts w:ascii="Arial" w:hAnsi="Arial" w:cs="Arial"/>
          <w:color w:val="323232"/>
          <w:sz w:val="15"/>
          <w:szCs w:val="15"/>
          <w:shd w:val="clear" w:color="auto" w:fill="FFFFFF"/>
          <w:lang w:val="id-ID"/>
        </w:rPr>
        <w:t>, 5 : 014003.</w:t>
      </w:r>
      <w:r>
        <w:rPr>
          <w:rFonts w:ascii="Arial" w:hAnsi="Arial" w:cs="Arial"/>
          <w:color w:val="323232"/>
          <w:sz w:val="15"/>
          <w:szCs w:val="15"/>
          <w:shd w:val="clear" w:color="auto" w:fill="FFFFFF"/>
        </w:rPr>
        <w:t> </w:t>
      </w:r>
    </w:p>
    <w:p w:rsidR="00AE3E37" w:rsidRPr="00000BA4" w:rsidRDefault="005973B9" w:rsidP="00000BA4">
      <w:pPr>
        <w:pStyle w:val="BodyText"/>
        <w:spacing w:before="85" w:line="216" w:lineRule="exact"/>
        <w:ind w:left="383" w:right="138" w:hanging="284"/>
        <w:jc w:val="both"/>
        <w:rPr>
          <w:lang w:val="id-ID"/>
        </w:rPr>
      </w:pPr>
      <w:r>
        <w:rPr>
          <w:rFonts w:ascii="Calibri" w:hAnsi="Calibri"/>
        </w:rPr>
        <w:t xml:space="preserve">5. </w:t>
      </w:r>
      <w:r w:rsidR="00000BA4">
        <w:rPr>
          <w:rStyle w:val="previewtxt"/>
          <w:rFonts w:ascii="Arial" w:hAnsi="Arial" w:cs="Arial"/>
          <w:color w:val="323232"/>
          <w:sz w:val="15"/>
          <w:szCs w:val="15"/>
          <w:shd w:val="clear" w:color="auto" w:fill="FFFFFF"/>
        </w:rPr>
        <w:t>Taufiq, A.</w:t>
      </w:r>
      <w:r w:rsidR="00000BA4">
        <w:rPr>
          <w:rFonts w:ascii="Arial" w:hAnsi="Arial" w:cs="Arial"/>
          <w:color w:val="C0C0C0"/>
          <w:sz w:val="15"/>
          <w:szCs w:val="15"/>
          <w:shd w:val="clear" w:color="auto" w:fill="FFFFFF"/>
        </w:rPr>
        <w:t>, </w:t>
      </w:r>
      <w:r w:rsidR="00000BA4">
        <w:rPr>
          <w:rStyle w:val="previewtxt"/>
          <w:rFonts w:ascii="Arial" w:hAnsi="Arial" w:cs="Arial"/>
          <w:color w:val="323232"/>
          <w:sz w:val="15"/>
          <w:szCs w:val="15"/>
          <w:shd w:val="clear" w:color="auto" w:fill="FFFFFF"/>
        </w:rPr>
        <w:t>Darminto</w:t>
      </w:r>
      <w:r w:rsidR="00000BA4">
        <w:rPr>
          <w:rStyle w:val="previewtxt"/>
          <w:rFonts w:ascii="Arial" w:hAnsi="Arial" w:cs="Arial"/>
          <w:color w:val="323232"/>
          <w:sz w:val="15"/>
          <w:szCs w:val="15"/>
          <w:shd w:val="clear" w:color="auto" w:fill="FFFFFF"/>
          <w:lang w:val="id-ID"/>
        </w:rPr>
        <w:t>, et al. (2018)</w:t>
      </w:r>
      <w:r w:rsidR="00000BA4">
        <w:rPr>
          <w:rStyle w:val="previewtxt"/>
          <w:rFonts w:ascii="Arial" w:hAnsi="Arial" w:cs="Arial"/>
          <w:color w:val="323232"/>
          <w:sz w:val="15"/>
          <w:szCs w:val="15"/>
          <w:shd w:val="clear" w:color="auto" w:fill="FFFFFF"/>
        </w:rPr>
        <w:t xml:space="preserve">, </w:t>
      </w:r>
      <w:r w:rsidR="00000BA4">
        <w:rPr>
          <w:rFonts w:ascii="Arial" w:hAnsi="Arial" w:cs="Arial"/>
          <w:color w:val="323232"/>
          <w:sz w:val="15"/>
          <w:szCs w:val="15"/>
          <w:shd w:val="clear" w:color="auto" w:fill="FFFFFF"/>
        </w:rPr>
        <w:t>Preparation of superparamagnetic Fe</w:t>
      </w:r>
      <w:r w:rsidR="00000BA4" w:rsidRPr="00000BA4">
        <w:rPr>
          <w:vertAlign w:val="subscript"/>
        </w:rPr>
        <w:t>3</w:t>
      </w:r>
      <w:r w:rsidR="00000BA4">
        <w:rPr>
          <w:rFonts w:ascii="Arial" w:hAnsi="Arial" w:cs="Arial"/>
          <w:color w:val="323232"/>
          <w:sz w:val="15"/>
          <w:szCs w:val="15"/>
          <w:shd w:val="clear" w:color="auto" w:fill="FFFFFF"/>
        </w:rPr>
        <w:t>O</w:t>
      </w:r>
      <w:r w:rsidR="00000BA4" w:rsidRPr="00000BA4">
        <w:rPr>
          <w:vertAlign w:val="subscript"/>
        </w:rPr>
        <w:t>4</w:t>
      </w:r>
      <w:r w:rsidR="00000BA4">
        <w:rPr>
          <w:rFonts w:ascii="Arial" w:hAnsi="Arial" w:cs="Arial"/>
          <w:color w:val="323232"/>
          <w:sz w:val="15"/>
          <w:szCs w:val="15"/>
          <w:shd w:val="clear" w:color="auto" w:fill="FFFFFF"/>
        </w:rPr>
        <w:t> nanoparticles from iron sand mediated by soft template and their performance as antibacterial agent </w:t>
      </w:r>
      <w:r w:rsidR="00000BA4">
        <w:rPr>
          <w:rFonts w:ascii="Arial" w:hAnsi="Arial" w:cs="Arial"/>
          <w:color w:val="323232"/>
          <w:sz w:val="15"/>
          <w:szCs w:val="15"/>
          <w:shd w:val="clear" w:color="auto" w:fill="FFFFFF"/>
          <w:lang w:val="id-ID"/>
        </w:rPr>
        <w:t xml:space="preserve">, </w:t>
      </w:r>
      <w:r w:rsidR="00000BA4" w:rsidRPr="00000BA4">
        <w:rPr>
          <w:rFonts w:ascii="Arial" w:hAnsi="Arial" w:cs="Arial"/>
          <w:i/>
          <w:color w:val="323232"/>
          <w:sz w:val="15"/>
          <w:szCs w:val="15"/>
          <w:shd w:val="clear" w:color="auto" w:fill="FFFFFF"/>
        </w:rPr>
        <w:t>Journal of Magnetics</w:t>
      </w:r>
      <w:r w:rsidR="00000BA4">
        <w:rPr>
          <w:rFonts w:ascii="Arial" w:hAnsi="Arial" w:cs="Arial"/>
          <w:color w:val="323232"/>
          <w:sz w:val="15"/>
          <w:szCs w:val="15"/>
          <w:shd w:val="clear" w:color="auto" w:fill="FFFFFF"/>
          <w:lang w:val="id-ID"/>
        </w:rPr>
        <w:t xml:space="preserve">, </w:t>
      </w:r>
      <w:r w:rsidR="00000BA4" w:rsidRPr="00000BA4">
        <w:rPr>
          <w:rFonts w:ascii="Arial" w:hAnsi="Arial" w:cs="Arial"/>
          <w:color w:val="323232"/>
          <w:sz w:val="15"/>
          <w:szCs w:val="15"/>
          <w:shd w:val="clear" w:color="auto" w:fill="FFFFFF"/>
          <w:lang w:val="id-ID"/>
        </w:rPr>
        <w:t>23(3), 337-344</w:t>
      </w:r>
      <w:r w:rsidR="00000BA4">
        <w:rPr>
          <w:rFonts w:ascii="Arial" w:hAnsi="Arial" w:cs="Arial"/>
          <w:color w:val="323232"/>
          <w:sz w:val="15"/>
          <w:szCs w:val="15"/>
          <w:shd w:val="clear" w:color="auto" w:fill="FFFFFF"/>
          <w:lang w:val="id-ID"/>
        </w:rPr>
        <w:t>.</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1A25C9">
      <w:pPr>
        <w:pStyle w:val="BodyText"/>
        <w:spacing w:line="40" w:lineRule="exact"/>
        <w:ind w:left="2202"/>
        <w:rPr>
          <w:rFonts w:ascii="Calibri"/>
          <w:sz w:val="4"/>
        </w:rPr>
      </w:pPr>
      <w:r w:rsidRPr="001A25C9">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EE3264" w:rsidP="00404E5B">
      <w:pPr>
        <w:spacing w:before="92"/>
        <w:ind w:right="4234"/>
        <w:rPr>
          <w:rFonts w:ascii="Arial"/>
        </w:rPr>
      </w:pPr>
      <w:r>
        <w:rPr>
          <w:noProof/>
          <w:lang w:val="id-ID" w:eastAsia="id-ID"/>
        </w:rPr>
        <w:drawing>
          <wp:inline distT="0" distB="0" distL="0" distR="0">
            <wp:extent cx="608135" cy="781091"/>
            <wp:effectExtent l="19050" t="0" r="1465" b="0"/>
            <wp:docPr id="7" name="Picture 2" descr="C:\Users\PRIV-ITS\Pictures\Dar-J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IV-ITS\Pictures\Dar-JICA.jpg"/>
                    <pic:cNvPicPr>
                      <a:picLocks noChangeAspect="1" noChangeArrowheads="1"/>
                    </pic:cNvPicPr>
                  </pic:nvPicPr>
                  <pic:blipFill>
                    <a:blip r:embed="rId10" cstate="print"/>
                    <a:srcRect/>
                    <a:stretch>
                      <a:fillRect/>
                    </a:stretch>
                  </pic:blipFill>
                  <pic:spPr bwMode="auto">
                    <a:xfrm>
                      <a:off x="0" y="0"/>
                      <a:ext cx="612172" cy="786276"/>
                    </a:xfrm>
                    <a:prstGeom prst="rect">
                      <a:avLst/>
                    </a:prstGeom>
                    <a:noFill/>
                    <a:ln w="9525">
                      <a:noFill/>
                      <a:miter lim="800000"/>
                      <a:headEnd/>
                      <a:tailEnd/>
                    </a:ln>
                  </pic:spPr>
                </pic:pic>
              </a:graphicData>
            </a:graphic>
          </wp:inline>
        </w:drawing>
      </w:r>
      <w:r>
        <w:rPr>
          <w:noProof/>
          <w:lang w:val="id-ID" w:eastAsia="id-ID"/>
        </w:rPr>
        <w:t xml:space="preserve"> </w:t>
      </w:r>
      <w:r w:rsidR="00A9710C">
        <w:rPr>
          <w:rFonts w:ascii="Arial"/>
          <w:color w:val="BF5A14"/>
        </w:rPr>
        <w:t>Biography</w:t>
      </w:r>
      <w:r w:rsidR="00404E5B">
        <w:rPr>
          <w:rFonts w:ascii="Arial"/>
          <w:color w:val="BF5A14"/>
        </w:rPr>
        <w:t xml:space="preserve"> </w:t>
      </w:r>
    </w:p>
    <w:p w:rsidR="001C2ED5" w:rsidRPr="001C2ED5" w:rsidRDefault="001C2ED5" w:rsidP="001C2ED5">
      <w:pPr>
        <w:pStyle w:val="ListParagraph"/>
        <w:spacing w:line="240" w:lineRule="auto"/>
        <w:ind w:left="0"/>
        <w:rPr>
          <w:rFonts w:ascii="Arial" w:hAnsi="Arial" w:cs="Arial"/>
          <w:sz w:val="14"/>
          <w:szCs w:val="14"/>
          <w:lang w:val="id-ID"/>
        </w:rPr>
      </w:pPr>
      <w:r>
        <w:rPr>
          <w:rFonts w:ascii="Arial"/>
          <w:sz w:val="14"/>
          <w:lang w:val="id-ID"/>
        </w:rPr>
        <w:t xml:space="preserve">        </w:t>
      </w:r>
      <w:r w:rsidRPr="001C2ED5">
        <w:rPr>
          <w:rFonts w:ascii="Arial" w:hAnsi="Arial" w:cs="Arial"/>
          <w:sz w:val="14"/>
          <w:szCs w:val="14"/>
          <w:lang w:val="id-ID"/>
        </w:rPr>
        <w:t>Darminto is a</w:t>
      </w:r>
      <w:r w:rsidRPr="001C2ED5">
        <w:rPr>
          <w:rFonts w:ascii="Arial" w:hAnsi="Arial" w:cs="Arial"/>
          <w:sz w:val="14"/>
          <w:szCs w:val="14"/>
        </w:rPr>
        <w:t xml:space="preserve"> </w:t>
      </w:r>
      <w:r w:rsidRPr="001C2ED5">
        <w:rPr>
          <w:rFonts w:ascii="Arial" w:hAnsi="Arial" w:cs="Arial"/>
          <w:sz w:val="14"/>
          <w:szCs w:val="14"/>
          <w:lang w:val="id-ID"/>
        </w:rPr>
        <w:t>p</w:t>
      </w:r>
      <w:r w:rsidRPr="001C2ED5">
        <w:rPr>
          <w:rFonts w:ascii="Arial" w:hAnsi="Arial" w:cs="Arial"/>
          <w:sz w:val="14"/>
          <w:szCs w:val="14"/>
        </w:rPr>
        <w:t>rofessor</w:t>
      </w:r>
      <w:r w:rsidRPr="001C2ED5">
        <w:rPr>
          <w:rFonts w:ascii="Arial" w:hAnsi="Arial" w:cs="Arial"/>
          <w:sz w:val="14"/>
          <w:szCs w:val="14"/>
          <w:lang w:val="id-ID"/>
        </w:rPr>
        <w:t xml:space="preserve"> </w:t>
      </w:r>
      <w:r w:rsidR="00EE3264">
        <w:rPr>
          <w:rFonts w:ascii="Arial" w:hAnsi="Arial" w:cs="Arial"/>
          <w:sz w:val="14"/>
          <w:szCs w:val="14"/>
          <w:lang w:val="id-ID"/>
        </w:rPr>
        <w:t xml:space="preserve">of condensed matter physics </w:t>
      </w:r>
      <w:r w:rsidRPr="001C2ED5">
        <w:rPr>
          <w:rFonts w:ascii="Arial" w:hAnsi="Arial" w:cs="Arial"/>
          <w:sz w:val="14"/>
          <w:szCs w:val="14"/>
          <w:lang w:val="id-ID"/>
        </w:rPr>
        <w:t xml:space="preserve">at the </w:t>
      </w:r>
      <w:r w:rsidRPr="001C2ED5">
        <w:rPr>
          <w:rFonts w:ascii="Arial" w:hAnsi="Arial" w:cs="Arial"/>
          <w:sz w:val="14"/>
          <w:szCs w:val="14"/>
        </w:rPr>
        <w:t xml:space="preserve"> Department of Physics, </w:t>
      </w:r>
      <w:r w:rsidRPr="001C2ED5">
        <w:rPr>
          <w:rFonts w:ascii="Arial" w:hAnsi="Arial" w:cs="Arial"/>
          <w:sz w:val="14"/>
          <w:szCs w:val="14"/>
          <w:lang w:val="id-ID"/>
        </w:rPr>
        <w:t>Institute of Technology Sepuluh Nopember (ITS), Surabaya, Indonesia, with research interests on superconductivity, magneto-electronics, 2D- and nano-materials.</w:t>
      </w:r>
      <w:r w:rsidRPr="001C2ED5">
        <w:rPr>
          <w:rFonts w:ascii="Arial" w:eastAsia="FangSong_GB2312" w:hAnsi="Arial" w:cs="Arial"/>
          <w:sz w:val="14"/>
          <w:szCs w:val="14"/>
        </w:rPr>
        <w:t xml:space="preserve"> </w:t>
      </w:r>
      <w:r w:rsidR="00EE3264">
        <w:rPr>
          <w:rFonts w:ascii="Arial" w:eastAsia="FangSong_GB2312" w:hAnsi="Arial" w:cs="Arial"/>
          <w:sz w:val="14"/>
          <w:szCs w:val="14"/>
          <w:lang w:val="id-ID"/>
        </w:rPr>
        <w:t xml:space="preserve">Research visits have been conducted on </w:t>
      </w:r>
      <w:r w:rsidRPr="001C2ED5">
        <w:rPr>
          <w:rFonts w:ascii="Arial" w:eastAsia="FangSong_GB2312" w:hAnsi="Arial" w:cs="Arial"/>
          <w:sz w:val="14"/>
          <w:szCs w:val="14"/>
          <w:lang w:val="id-ID"/>
        </w:rPr>
        <w:t xml:space="preserve">single crystal growing of oxide materials, University of </w:t>
      </w:r>
      <w:r w:rsidRPr="001C2ED5">
        <w:rPr>
          <w:rFonts w:ascii="Arial" w:eastAsia="FangSong_GB2312" w:hAnsi="Arial" w:cs="Arial"/>
          <w:sz w:val="14"/>
          <w:szCs w:val="14"/>
        </w:rPr>
        <w:t>Amsterdam, 1998</w:t>
      </w:r>
      <w:r w:rsidRPr="001C2ED5">
        <w:rPr>
          <w:rFonts w:ascii="Arial" w:eastAsia="FangSong_GB2312" w:hAnsi="Arial" w:cs="Arial"/>
          <w:sz w:val="14"/>
          <w:szCs w:val="14"/>
          <w:lang w:val="id-ID"/>
        </w:rPr>
        <w:t>; on high-T</w:t>
      </w:r>
      <w:r w:rsidRPr="001C2ED5">
        <w:rPr>
          <w:rFonts w:ascii="Arial" w:eastAsia="FangSong_GB2312" w:hAnsi="Arial" w:cs="Arial"/>
          <w:sz w:val="14"/>
          <w:szCs w:val="14"/>
          <w:vertAlign w:val="subscript"/>
          <w:lang w:val="id-ID"/>
        </w:rPr>
        <w:t>c</w:t>
      </w:r>
      <w:r w:rsidRPr="001C2ED5">
        <w:rPr>
          <w:rFonts w:ascii="Arial" w:eastAsia="FangSong_GB2312" w:hAnsi="Arial" w:cs="Arial"/>
          <w:sz w:val="14"/>
          <w:szCs w:val="14"/>
          <w:lang w:val="id-ID"/>
        </w:rPr>
        <w:t xml:space="preserve"> Bi-based superconductivity, The</w:t>
      </w:r>
      <w:r w:rsidRPr="001C2ED5">
        <w:rPr>
          <w:rFonts w:ascii="Arial" w:eastAsia="FangSong_GB2312" w:hAnsi="Arial" w:cs="Arial"/>
          <w:sz w:val="14"/>
          <w:szCs w:val="14"/>
        </w:rPr>
        <w:t xml:space="preserve"> U</w:t>
      </w:r>
      <w:r w:rsidRPr="001C2ED5">
        <w:rPr>
          <w:rFonts w:ascii="Arial" w:eastAsia="FangSong_GB2312" w:hAnsi="Arial" w:cs="Arial"/>
          <w:sz w:val="14"/>
          <w:szCs w:val="14"/>
          <w:lang w:val="id-ID"/>
        </w:rPr>
        <w:t>niversity of</w:t>
      </w:r>
      <w:r w:rsidRPr="001C2ED5">
        <w:rPr>
          <w:rFonts w:ascii="Arial" w:eastAsia="FangSong_GB2312" w:hAnsi="Arial" w:cs="Arial"/>
          <w:sz w:val="14"/>
          <w:szCs w:val="14"/>
        </w:rPr>
        <w:t xml:space="preserve"> Tokyo, Japan, 1998–1999; </w:t>
      </w:r>
      <w:r w:rsidRPr="001C2ED5">
        <w:rPr>
          <w:rFonts w:ascii="Arial" w:eastAsia="FangSong_GB2312" w:hAnsi="Arial" w:cs="Arial"/>
          <w:sz w:val="14"/>
          <w:szCs w:val="14"/>
          <w:lang w:val="id-ID"/>
        </w:rPr>
        <w:t>superconducting interfaces a</w:t>
      </w:r>
      <w:r w:rsidR="00EE3264">
        <w:rPr>
          <w:rFonts w:ascii="Arial" w:eastAsia="FangSong_GB2312" w:hAnsi="Arial" w:cs="Arial"/>
          <w:sz w:val="14"/>
          <w:szCs w:val="14"/>
          <w:lang w:val="id-ID"/>
        </w:rPr>
        <w:t>n</w:t>
      </w:r>
      <w:r w:rsidRPr="001C2ED5">
        <w:rPr>
          <w:rFonts w:ascii="Arial" w:eastAsia="FangSong_GB2312" w:hAnsi="Arial" w:cs="Arial"/>
          <w:sz w:val="14"/>
          <w:szCs w:val="14"/>
          <w:lang w:val="id-ID"/>
        </w:rPr>
        <w:t>d devices, MESA</w:t>
      </w:r>
      <w:r w:rsidRPr="001C2ED5">
        <w:rPr>
          <w:rFonts w:ascii="Arial" w:eastAsia="FangSong_GB2312" w:hAnsi="Arial" w:cs="Arial"/>
          <w:sz w:val="14"/>
          <w:szCs w:val="14"/>
          <w:vertAlign w:val="superscript"/>
          <w:lang w:val="id-ID"/>
        </w:rPr>
        <w:t>+</w:t>
      </w:r>
      <w:r w:rsidRPr="001C2ED5">
        <w:rPr>
          <w:rFonts w:ascii="Arial" w:eastAsia="FangSong_GB2312" w:hAnsi="Arial" w:cs="Arial"/>
          <w:sz w:val="14"/>
          <w:szCs w:val="14"/>
          <w:lang w:val="id-ID"/>
        </w:rPr>
        <w:t xml:space="preserve"> Research Institute for Nanotechnology, </w:t>
      </w:r>
      <w:r w:rsidRPr="001C2ED5">
        <w:rPr>
          <w:rFonts w:ascii="Arial" w:eastAsia="FangSong_GB2312" w:hAnsi="Arial" w:cs="Arial"/>
          <w:sz w:val="14"/>
          <w:szCs w:val="14"/>
        </w:rPr>
        <w:t>U</w:t>
      </w:r>
      <w:r w:rsidRPr="001C2ED5">
        <w:rPr>
          <w:rFonts w:ascii="Arial" w:eastAsia="FangSong_GB2312" w:hAnsi="Arial" w:cs="Arial"/>
          <w:sz w:val="14"/>
          <w:szCs w:val="14"/>
          <w:lang w:val="id-ID"/>
        </w:rPr>
        <w:t>niversity</w:t>
      </w:r>
      <w:r w:rsidRPr="001C2ED5">
        <w:rPr>
          <w:rFonts w:ascii="Arial" w:eastAsia="FangSong_GB2312" w:hAnsi="Arial" w:cs="Arial"/>
          <w:sz w:val="14"/>
          <w:szCs w:val="14"/>
        </w:rPr>
        <w:t xml:space="preserve"> </w:t>
      </w:r>
      <w:r w:rsidRPr="001C2ED5">
        <w:rPr>
          <w:rFonts w:ascii="Arial" w:eastAsia="FangSong_GB2312" w:hAnsi="Arial" w:cs="Arial"/>
          <w:sz w:val="14"/>
          <w:szCs w:val="14"/>
          <w:lang w:val="id-ID"/>
        </w:rPr>
        <w:t xml:space="preserve">of </w:t>
      </w:r>
      <w:r w:rsidRPr="001C2ED5">
        <w:rPr>
          <w:rFonts w:ascii="Arial" w:eastAsia="FangSong_GB2312" w:hAnsi="Arial" w:cs="Arial"/>
          <w:sz w:val="14"/>
          <w:szCs w:val="14"/>
        </w:rPr>
        <w:t xml:space="preserve">Twente, </w:t>
      </w:r>
      <w:r w:rsidRPr="001C2ED5">
        <w:rPr>
          <w:rFonts w:ascii="Arial" w:eastAsia="FangSong_GB2312" w:hAnsi="Arial" w:cs="Arial"/>
          <w:sz w:val="14"/>
          <w:szCs w:val="14"/>
          <w:lang w:val="id-ID"/>
        </w:rPr>
        <w:t xml:space="preserve">The </w:t>
      </w:r>
      <w:r w:rsidRPr="001C2ED5">
        <w:rPr>
          <w:rFonts w:ascii="Arial" w:eastAsia="FangSong_GB2312" w:hAnsi="Arial" w:cs="Arial"/>
          <w:sz w:val="14"/>
          <w:szCs w:val="14"/>
        </w:rPr>
        <w:t xml:space="preserve">Netherlands, 2002–2003; </w:t>
      </w:r>
      <w:r w:rsidR="000B3683">
        <w:rPr>
          <w:rFonts w:ascii="Arial" w:eastAsia="FangSong_GB2312" w:hAnsi="Arial" w:cs="Arial"/>
          <w:sz w:val="14"/>
          <w:szCs w:val="14"/>
          <w:lang w:val="id-ID"/>
        </w:rPr>
        <w:t>and collaborations</w:t>
      </w:r>
      <w:r w:rsidRPr="001C2ED5">
        <w:rPr>
          <w:rFonts w:ascii="Arial" w:eastAsia="FangSong_GB2312" w:hAnsi="Arial" w:cs="Arial"/>
          <w:sz w:val="14"/>
          <w:szCs w:val="14"/>
          <w:lang w:val="id-ID"/>
        </w:rPr>
        <w:t xml:space="preserve"> </w:t>
      </w:r>
      <w:r w:rsidR="000B3683">
        <w:rPr>
          <w:rFonts w:ascii="Arial" w:eastAsia="FangSong_GB2312" w:hAnsi="Arial" w:cs="Arial"/>
          <w:sz w:val="14"/>
          <w:szCs w:val="14"/>
          <w:lang w:val="id-ID"/>
        </w:rPr>
        <w:t>on</w:t>
      </w:r>
      <w:r w:rsidR="00EE3264">
        <w:rPr>
          <w:rFonts w:ascii="Arial" w:eastAsia="FangSong_GB2312" w:hAnsi="Arial" w:cs="Arial"/>
          <w:sz w:val="14"/>
          <w:szCs w:val="14"/>
          <w:lang w:val="id-ID"/>
        </w:rPr>
        <w:t xml:space="preserve"> </w:t>
      </w:r>
      <w:r w:rsidRPr="001C2ED5">
        <w:rPr>
          <w:rFonts w:ascii="Arial" w:eastAsia="FangSong_GB2312" w:hAnsi="Arial" w:cs="Arial"/>
          <w:sz w:val="14"/>
          <w:szCs w:val="14"/>
          <w:lang w:val="id-ID"/>
        </w:rPr>
        <w:t xml:space="preserve">muon based science </w:t>
      </w:r>
      <w:r w:rsidRPr="001C2ED5">
        <w:rPr>
          <w:rFonts w:ascii="Arial" w:eastAsia="FangSong_GB2312" w:hAnsi="Arial" w:cs="Arial"/>
          <w:sz w:val="14"/>
          <w:szCs w:val="14"/>
        </w:rPr>
        <w:t>with RIKEN Nishina Center, Japan, 2007–</w:t>
      </w:r>
      <w:r w:rsidRPr="001C2ED5">
        <w:rPr>
          <w:rFonts w:ascii="Arial" w:eastAsia="FangSong_GB2312" w:hAnsi="Arial" w:cs="Arial"/>
          <w:sz w:val="14"/>
          <w:szCs w:val="14"/>
          <w:lang w:val="id-ID"/>
        </w:rPr>
        <w:t>present</w:t>
      </w:r>
      <w:r w:rsidRPr="001C2ED5">
        <w:rPr>
          <w:rFonts w:ascii="Arial" w:eastAsia="FangSong_GB2312" w:hAnsi="Arial" w:cs="Arial"/>
          <w:sz w:val="14"/>
          <w:szCs w:val="14"/>
        </w:rPr>
        <w:t>;</w:t>
      </w:r>
      <w:r w:rsidRPr="001C2ED5">
        <w:rPr>
          <w:rFonts w:ascii="Arial" w:eastAsia="FangSong_GB2312" w:hAnsi="Arial" w:cs="Arial"/>
          <w:sz w:val="14"/>
          <w:szCs w:val="14"/>
          <w:lang w:val="id-ID"/>
        </w:rPr>
        <w:t xml:space="preserve"> superconducting and magnetic materials with </w:t>
      </w:r>
      <w:r w:rsidRPr="001C2ED5">
        <w:rPr>
          <w:rFonts w:ascii="Arial" w:eastAsia="FangSong_GB2312" w:hAnsi="Arial" w:cs="Arial"/>
          <w:sz w:val="14"/>
          <w:szCs w:val="14"/>
        </w:rPr>
        <w:t>Chiba U</w:t>
      </w:r>
      <w:r w:rsidRPr="001C2ED5">
        <w:rPr>
          <w:rFonts w:ascii="Arial" w:eastAsia="FangSong_GB2312" w:hAnsi="Arial" w:cs="Arial"/>
          <w:sz w:val="14"/>
          <w:szCs w:val="14"/>
          <w:lang w:val="id-ID"/>
        </w:rPr>
        <w:t>niversity</w:t>
      </w:r>
      <w:r w:rsidRPr="001C2ED5">
        <w:rPr>
          <w:rFonts w:ascii="Arial" w:eastAsia="FangSong_GB2312" w:hAnsi="Arial" w:cs="Arial"/>
          <w:sz w:val="14"/>
          <w:szCs w:val="14"/>
        </w:rPr>
        <w:t>, Japan, 2009–</w:t>
      </w:r>
      <w:r w:rsidRPr="001C2ED5">
        <w:rPr>
          <w:rFonts w:ascii="Arial" w:eastAsia="FangSong_GB2312" w:hAnsi="Arial" w:cs="Arial"/>
          <w:sz w:val="14"/>
          <w:szCs w:val="14"/>
          <w:lang w:val="id-ID"/>
        </w:rPr>
        <w:t>2012</w:t>
      </w:r>
      <w:r w:rsidRPr="001C2ED5">
        <w:rPr>
          <w:rFonts w:ascii="Arial" w:eastAsia="FangSong_GB2312" w:hAnsi="Arial" w:cs="Arial"/>
          <w:sz w:val="14"/>
          <w:szCs w:val="14"/>
        </w:rPr>
        <w:t xml:space="preserve">; </w:t>
      </w:r>
      <w:r w:rsidRPr="001C2ED5">
        <w:rPr>
          <w:rFonts w:ascii="Arial" w:eastAsia="FangSong_GB2312" w:hAnsi="Arial" w:cs="Arial"/>
          <w:sz w:val="14"/>
          <w:szCs w:val="14"/>
          <w:lang w:val="id-ID"/>
        </w:rPr>
        <w:t>materials processing and corrosion with Federal Institute for Material Research and Testing (</w:t>
      </w:r>
      <w:r w:rsidRPr="001C2ED5">
        <w:rPr>
          <w:rFonts w:ascii="Arial" w:eastAsia="FangSong_GB2312" w:hAnsi="Arial" w:cs="Arial"/>
          <w:sz w:val="14"/>
          <w:szCs w:val="14"/>
        </w:rPr>
        <w:t>BAM</w:t>
      </w:r>
      <w:r w:rsidRPr="001C2ED5">
        <w:rPr>
          <w:rFonts w:ascii="Arial" w:eastAsia="FangSong_GB2312" w:hAnsi="Arial" w:cs="Arial"/>
          <w:sz w:val="14"/>
          <w:szCs w:val="14"/>
          <w:lang w:val="id-ID"/>
        </w:rPr>
        <w:t>)</w:t>
      </w:r>
      <w:r w:rsidRPr="001C2ED5">
        <w:rPr>
          <w:rFonts w:ascii="Arial" w:eastAsia="FangSong_GB2312" w:hAnsi="Arial" w:cs="Arial"/>
          <w:sz w:val="14"/>
          <w:szCs w:val="14"/>
        </w:rPr>
        <w:t xml:space="preserve"> Berlin, Germany, 2013–</w:t>
      </w:r>
      <w:r w:rsidRPr="001C2ED5">
        <w:rPr>
          <w:rFonts w:ascii="Arial" w:eastAsia="FangSong_GB2312" w:hAnsi="Arial" w:cs="Arial"/>
          <w:sz w:val="14"/>
          <w:szCs w:val="14"/>
          <w:lang w:val="id-ID"/>
        </w:rPr>
        <w:t>present</w:t>
      </w:r>
      <w:r w:rsidRPr="001C2ED5">
        <w:rPr>
          <w:rFonts w:ascii="Arial" w:eastAsia="FangSong_GB2312" w:hAnsi="Arial" w:cs="Arial"/>
          <w:sz w:val="14"/>
          <w:szCs w:val="14"/>
        </w:rPr>
        <w:t xml:space="preserve">; </w:t>
      </w:r>
      <w:r w:rsidRPr="001C2ED5">
        <w:rPr>
          <w:rFonts w:ascii="Arial" w:eastAsia="FangSong_GB2312" w:hAnsi="Arial" w:cs="Arial"/>
          <w:sz w:val="14"/>
          <w:szCs w:val="14"/>
          <w:lang w:val="id-ID"/>
        </w:rPr>
        <w:t xml:space="preserve">neutron scattering and diffraction experiments with </w:t>
      </w:r>
      <w:r w:rsidR="00EE3264">
        <w:rPr>
          <w:rFonts w:ascii="Arial" w:eastAsia="FangSong_GB2312" w:hAnsi="Arial" w:cs="Arial"/>
          <w:sz w:val="14"/>
          <w:szCs w:val="14"/>
          <w:lang w:val="id-ID"/>
        </w:rPr>
        <w:t>National Nuclear Energy Agency</w:t>
      </w:r>
      <w:r w:rsidRPr="001C2ED5">
        <w:rPr>
          <w:rFonts w:ascii="Arial" w:eastAsia="FangSong_GB2312" w:hAnsi="Arial" w:cs="Arial"/>
          <w:sz w:val="14"/>
          <w:szCs w:val="14"/>
        </w:rPr>
        <w:t>, Indonesia, 2005–;</w:t>
      </w:r>
      <w:r w:rsidRPr="001C2ED5">
        <w:rPr>
          <w:rFonts w:ascii="Arial" w:eastAsia="FangSong_GB2312" w:hAnsi="Arial" w:cs="Arial"/>
          <w:sz w:val="14"/>
          <w:szCs w:val="14"/>
          <w:lang w:val="id-ID"/>
        </w:rPr>
        <w:t xml:space="preserve"> synchrotron X-ray experiments </w:t>
      </w:r>
      <w:r w:rsidRPr="001C2ED5">
        <w:rPr>
          <w:rFonts w:ascii="Arial" w:eastAsia="FangSong_GB2312" w:hAnsi="Arial" w:cs="Arial"/>
          <w:sz w:val="14"/>
          <w:szCs w:val="14"/>
        </w:rPr>
        <w:t xml:space="preserve">with </w:t>
      </w:r>
      <w:r w:rsidRPr="001C2ED5">
        <w:rPr>
          <w:rFonts w:ascii="Arial" w:eastAsia="FangSong_GB2312" w:hAnsi="Arial" w:cs="Arial"/>
          <w:sz w:val="14"/>
          <w:szCs w:val="14"/>
          <w:lang w:val="id-ID"/>
        </w:rPr>
        <w:t>Synchrotron Light Reserach Institute (</w:t>
      </w:r>
      <w:r w:rsidRPr="001C2ED5">
        <w:rPr>
          <w:rFonts w:ascii="Arial" w:eastAsia="FangSong_GB2312" w:hAnsi="Arial" w:cs="Arial"/>
          <w:sz w:val="14"/>
          <w:szCs w:val="14"/>
        </w:rPr>
        <w:t>SRLI</w:t>
      </w:r>
      <w:r w:rsidRPr="001C2ED5">
        <w:rPr>
          <w:rFonts w:ascii="Arial" w:eastAsia="FangSong_GB2312" w:hAnsi="Arial" w:cs="Arial"/>
          <w:sz w:val="14"/>
          <w:szCs w:val="14"/>
          <w:lang w:val="id-ID"/>
        </w:rPr>
        <w:t>) on oxides and carbon based materials,</w:t>
      </w:r>
      <w:r w:rsidRPr="001C2ED5">
        <w:rPr>
          <w:rFonts w:ascii="Arial" w:eastAsia="FangSong_GB2312" w:hAnsi="Arial" w:cs="Arial"/>
          <w:sz w:val="14"/>
          <w:szCs w:val="14"/>
        </w:rPr>
        <w:t xml:space="preserve"> Thailand, 201</w:t>
      </w:r>
      <w:r w:rsidRPr="001C2ED5">
        <w:rPr>
          <w:rFonts w:ascii="Arial" w:eastAsia="FangSong_GB2312" w:hAnsi="Arial" w:cs="Arial"/>
          <w:sz w:val="14"/>
          <w:szCs w:val="14"/>
          <w:lang w:val="id-ID"/>
        </w:rPr>
        <w:t>5</w:t>
      </w:r>
      <w:r w:rsidRPr="001C2ED5">
        <w:rPr>
          <w:rFonts w:ascii="Arial" w:eastAsia="FangSong_GB2312" w:hAnsi="Arial" w:cs="Arial"/>
          <w:sz w:val="14"/>
          <w:szCs w:val="14"/>
        </w:rPr>
        <w:t>–</w:t>
      </w:r>
      <w:r w:rsidRPr="001C2ED5">
        <w:rPr>
          <w:rFonts w:ascii="Arial" w:eastAsia="FangSong_GB2312" w:hAnsi="Arial" w:cs="Arial"/>
          <w:sz w:val="14"/>
          <w:szCs w:val="14"/>
          <w:lang w:val="id-ID"/>
        </w:rPr>
        <w:t>present</w:t>
      </w:r>
      <w:r w:rsidRPr="001C2ED5">
        <w:rPr>
          <w:rFonts w:ascii="Arial" w:eastAsia="FangSong_GB2312" w:hAnsi="Arial" w:cs="Arial"/>
          <w:sz w:val="14"/>
          <w:szCs w:val="14"/>
        </w:rPr>
        <w:t>.</w:t>
      </w: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EE3264">
          <w:rPr>
            <w:rStyle w:val="Hyperlink"/>
            <w:rFonts w:ascii="Arial"/>
            <w:sz w:val="14"/>
            <w:lang w:val="id-ID"/>
          </w:rPr>
          <w:t>darminto@physics.its.ac.id</w:t>
        </w:r>
      </w:hyperlink>
    </w:p>
    <w:p w:rsidR="00AE3E37" w:rsidRDefault="001A25C9">
      <w:pPr>
        <w:pStyle w:val="BodyText"/>
        <w:spacing w:before="2"/>
        <w:rPr>
          <w:rFonts w:ascii="Arial"/>
          <w:sz w:val="19"/>
        </w:rPr>
      </w:pPr>
      <w:r w:rsidRPr="001A25C9">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5157" w:rsidRDefault="000D5157">
      <w:r>
        <w:separator/>
      </w:r>
    </w:p>
  </w:endnote>
  <w:endnote w:type="continuationSeparator" w:id="1">
    <w:p w:rsidR="000D5157" w:rsidRDefault="000D515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FangSong_GB2312">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D3E" w:rsidRDefault="00202D3E">
    <w:pPr>
      <w:pStyle w:val="BodyText"/>
      <w:spacing w:line="14" w:lineRule="auto"/>
      <w:rPr>
        <w:sz w:val="20"/>
      </w:rPr>
    </w:pPr>
    <w:r w:rsidRPr="001A25C9">
      <w:rPr>
        <w:noProof/>
      </w:rPr>
      <w:pict>
        <v:shapetype id="_x0000_t202" coordsize="21600,21600" o:spt="202" path="m,l,21600r21600,l21600,xe">
          <v:stroke joinstyle="miter"/>
          <v:path gradientshapeok="t" o:connecttype="rect"/>
        </v:shapetype>
        <v:shape id="Text Box 2" o:spid="_x0000_s6146"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202D3E" w:rsidRPr="005B3A56" w:rsidRDefault="00202D3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202D3E" w:rsidRPr="005B3A56" w:rsidRDefault="00202D3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5157" w:rsidRDefault="000D5157">
      <w:r>
        <w:separator/>
      </w:r>
    </w:p>
  </w:footnote>
  <w:footnote w:type="continuationSeparator" w:id="1">
    <w:p w:rsidR="000D5157" w:rsidRDefault="000D51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D3E" w:rsidRDefault="00202D3E">
    <w:pPr>
      <w:pStyle w:val="BodyText"/>
      <w:spacing w:line="14" w:lineRule="auto"/>
      <w:rPr>
        <w:sz w:val="20"/>
      </w:rPr>
    </w:pPr>
    <w:r w:rsidRPr="001A25C9">
      <w:rPr>
        <w:noProof/>
      </w:rPr>
      <w:pict>
        <v:shapetype id="_x0000_t202" coordsize="21600,21600" o:spt="202" path="m,l,21600r21600,l21600,xe">
          <v:stroke joinstyle="miter"/>
          <v:path gradientshapeok="t" o:connecttype="rect"/>
        </v:shapetype>
        <v:shape id="Text Box 4" o:spid="_x0000_s6148"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202D3E" w:rsidRPr="005B3A56" w:rsidRDefault="00202D3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202D3E" w:rsidRPr="005B3A56" w:rsidRDefault="00202D3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6"/>
    </o:shapelayout>
  </w:hdrShapeDefaults>
  <w:footnotePr>
    <w:footnote w:id="0"/>
    <w:footnote w:id="1"/>
  </w:footnotePr>
  <w:endnotePr>
    <w:endnote w:id="0"/>
    <w:endnote w:id="1"/>
  </w:endnotePr>
  <w:compat>
    <w:ulTrailSpace/>
  </w:compat>
  <w:rsids>
    <w:rsidRoot w:val="00AE3E37"/>
    <w:rsid w:val="00000BA4"/>
    <w:rsid w:val="000A3792"/>
    <w:rsid w:val="000B3683"/>
    <w:rsid w:val="000D5157"/>
    <w:rsid w:val="000E2911"/>
    <w:rsid w:val="001263DF"/>
    <w:rsid w:val="001A25C9"/>
    <w:rsid w:val="001C2ED5"/>
    <w:rsid w:val="00202D3E"/>
    <w:rsid w:val="00205C47"/>
    <w:rsid w:val="002455EC"/>
    <w:rsid w:val="00292ED9"/>
    <w:rsid w:val="00404E5B"/>
    <w:rsid w:val="00414F7B"/>
    <w:rsid w:val="00420257"/>
    <w:rsid w:val="004355DC"/>
    <w:rsid w:val="004749B4"/>
    <w:rsid w:val="00494130"/>
    <w:rsid w:val="004F3523"/>
    <w:rsid w:val="005973B9"/>
    <w:rsid w:val="005B3A56"/>
    <w:rsid w:val="005E1C23"/>
    <w:rsid w:val="005F26C1"/>
    <w:rsid w:val="006060CE"/>
    <w:rsid w:val="0063497F"/>
    <w:rsid w:val="00873DF0"/>
    <w:rsid w:val="008756E6"/>
    <w:rsid w:val="008A08B6"/>
    <w:rsid w:val="009B2D44"/>
    <w:rsid w:val="009F0D77"/>
    <w:rsid w:val="00A07E82"/>
    <w:rsid w:val="00A9710C"/>
    <w:rsid w:val="00AE3E37"/>
    <w:rsid w:val="00B21A57"/>
    <w:rsid w:val="00C32FDE"/>
    <w:rsid w:val="00C33602"/>
    <w:rsid w:val="00CD6F55"/>
    <w:rsid w:val="00D35A55"/>
    <w:rsid w:val="00DE3104"/>
    <w:rsid w:val="00E26B10"/>
    <w:rsid w:val="00EE3264"/>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link w:val="ListParagraphChar"/>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previewtxt">
    <w:name w:val="previewtxt"/>
    <w:basedOn w:val="DefaultParagraphFont"/>
    <w:rsid w:val="00D35A55"/>
  </w:style>
  <w:style w:type="character" w:customStyle="1" w:styleId="ListParagraphChar">
    <w:name w:val="List Paragraph Char"/>
    <w:link w:val="ListParagraph"/>
    <w:rsid w:val="001C2ED5"/>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68606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PRIV-ITS</cp:lastModifiedBy>
  <cp:revision>3</cp:revision>
  <dcterms:created xsi:type="dcterms:W3CDTF">2019-03-31T15:10:00Z</dcterms:created>
  <dcterms:modified xsi:type="dcterms:W3CDTF">2019-03-31T15:12:00Z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