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E40555" w:rsidP="00494130">
      <w:pPr>
        <w:pStyle w:val="1"/>
        <w:spacing w:before="170"/>
        <w:ind w:left="0"/>
      </w:pPr>
      <w:r w:rsidRPr="00E40555">
        <w:rPr>
          <w:color w:val="337AB7"/>
        </w:rPr>
        <w:t xml:space="preserve">Random walk modelling </w:t>
      </w:r>
      <w:r>
        <w:rPr>
          <w:color w:val="337AB7"/>
        </w:rPr>
        <w:t>in</w:t>
      </w:r>
      <w:r w:rsidRPr="00E40555">
        <w:rPr>
          <w:color w:val="337AB7"/>
        </w:rPr>
        <w:t xml:space="preserve"> the high-energy ball milling</w:t>
      </w:r>
    </w:p>
    <w:p w:rsidR="00507CFA" w:rsidRDefault="00507CFA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Vyacheslav</w:t>
      </w:r>
      <w:proofErr w:type="spellEnd"/>
      <w:r w:rsidR="005973B9">
        <w:rPr>
          <w:rFonts w:ascii="Arial"/>
        </w:rPr>
        <w:t xml:space="preserve"> </w:t>
      </w:r>
      <w:r>
        <w:rPr>
          <w:rFonts w:ascii="Arial"/>
        </w:rPr>
        <w:t>S</w:t>
      </w:r>
      <w:r w:rsidR="005973B9">
        <w:rPr>
          <w:rFonts w:ascii="Arial"/>
        </w:rPr>
        <w:t xml:space="preserve"> </w:t>
      </w:r>
      <w:proofErr w:type="spellStart"/>
      <w:r>
        <w:rPr>
          <w:rFonts w:ascii="Arial"/>
        </w:rPr>
        <w:t>Kalnitsky</w:t>
      </w:r>
      <w:proofErr w:type="spellEnd"/>
      <w:r w:rsidR="005973B9">
        <w:rPr>
          <w:rFonts w:ascii="Arial"/>
        </w:rPr>
        <w:t xml:space="preserve">, </w:t>
      </w:r>
      <w:r>
        <w:rPr>
          <w:rFonts w:ascii="Arial"/>
        </w:rPr>
        <w:t>P</w:t>
      </w:r>
      <w:r w:rsidR="005973B9">
        <w:rPr>
          <w:rFonts w:ascii="Arial"/>
        </w:rPr>
        <w:t xml:space="preserve">hD, </w:t>
      </w:r>
    </w:p>
    <w:p w:rsidR="00507CFA" w:rsidRDefault="00507CFA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Oleg</w:t>
      </w:r>
      <w:r w:rsidR="005973B9">
        <w:rPr>
          <w:rFonts w:ascii="Arial"/>
        </w:rPr>
        <w:t xml:space="preserve"> </w:t>
      </w:r>
      <w:r>
        <w:rPr>
          <w:rFonts w:ascii="Arial"/>
        </w:rPr>
        <w:t>V</w:t>
      </w:r>
      <w:r w:rsidR="005973B9">
        <w:rPr>
          <w:rFonts w:ascii="Arial"/>
        </w:rPr>
        <w:t xml:space="preserve"> </w:t>
      </w:r>
      <w:proofErr w:type="spellStart"/>
      <w:r>
        <w:rPr>
          <w:rFonts w:ascii="Arial"/>
        </w:rPr>
        <w:t>Rusakov</w:t>
      </w:r>
      <w:proofErr w:type="spellEnd"/>
      <w:r w:rsidR="005973B9">
        <w:rPr>
          <w:rFonts w:ascii="Arial"/>
        </w:rPr>
        <w:t>,</w:t>
      </w:r>
      <w:r>
        <w:rPr>
          <w:rFonts w:ascii="Arial"/>
        </w:rPr>
        <w:t xml:space="preserve"> </w:t>
      </w:r>
      <w:r w:rsidR="005973B9">
        <w:rPr>
          <w:rFonts w:ascii="Arial"/>
        </w:rPr>
        <w:t xml:space="preserve">PhD, </w:t>
      </w:r>
    </w:p>
    <w:p w:rsidR="005973B9" w:rsidRDefault="00507CFA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Saint-Petersburg state university, Russia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BD2EB4" w:rsidRDefault="00BD2EB4" w:rsidP="00BD2EB4">
      <w:pPr>
        <w:pStyle w:val="a3"/>
        <w:spacing w:before="90" w:line="280" w:lineRule="auto"/>
        <w:ind w:left="100"/>
        <w:jc w:val="both"/>
      </w:pPr>
      <w:r w:rsidRPr="00BD2EB4">
        <w:rPr>
          <w:b/>
        </w:rPr>
        <w:t>The dispersion model</w:t>
      </w:r>
      <w:r>
        <w:t xml:space="preserve">. Consider a random walk in a regular m-polygon inscribed in the unit circle. The movement of the point to a randomly selected vertex determines the position of the point. The point passes a prescribed distance and stops. For such a process, there is a limit distribution of the probabilities of the position of the point. This algorithm </w:t>
      </w:r>
      <w:proofErr w:type="gramStart"/>
      <w:r>
        <w:t>was used</w:t>
      </w:r>
      <w:proofErr w:type="gramEnd"/>
      <w:r>
        <w:t xml:space="preserve"> for modelling </w:t>
      </w:r>
      <w:r w:rsidR="004538EE">
        <w:t xml:space="preserve">different </w:t>
      </w:r>
      <w:r>
        <w:t>processes [1</w:t>
      </w:r>
      <w:r w:rsidR="004538EE">
        <w:t>-4</w:t>
      </w:r>
      <w:r>
        <w:t>]. Now we applicate it for describing the distribution density of grinding elements in a high-energy ball milling [</w:t>
      </w:r>
      <w:r w:rsidR="004538EE">
        <w:t>5</w:t>
      </w:r>
      <w:r>
        <w:t xml:space="preserve">]. </w:t>
      </w:r>
      <w:proofErr w:type="gramStart"/>
      <w:r>
        <w:t xml:space="preserve">Basic assumptions: 1) the displacement of one grinding element is considered in the projection on the base of the cylindrical body of the mill; 2) consider the motion of the element rectilinear between impacts; 3) the direction after the impact will be considered a normally distributed vector; 4) the mean free path </w:t>
      </w:r>
      <w:r>
        <w:rPr>
          <w:rFonts w:ascii="Calibri" w:hAnsi="Calibri" w:cs="Calibri"/>
        </w:rPr>
        <w:t>μ</w:t>
      </w:r>
      <w:r>
        <w:t xml:space="preserve"> for a particle has a fixed length in fractions of the radius of the drum; 5) the individual trajectory of a particle is assumed to be common for all grinding elements; 6) the density of the distribution of the particle</w:t>
      </w:r>
      <w:r w:rsidR="00C55FFF">
        <w:t xml:space="preserve"> stops</w:t>
      </w:r>
      <w:r>
        <w:t xml:space="preserve"> is taken as the density of collisions of the particle collective.</w:t>
      </w:r>
      <w:proofErr w:type="gramEnd"/>
    </w:p>
    <w:p w:rsidR="00BD2EB4" w:rsidRDefault="00BD2EB4" w:rsidP="00BD2EB4">
      <w:pPr>
        <w:pStyle w:val="a3"/>
        <w:spacing w:before="90" w:line="280" w:lineRule="auto"/>
        <w:ind w:left="100"/>
        <w:jc w:val="both"/>
      </w:pPr>
      <w:r w:rsidRPr="00BD2EB4">
        <w:rPr>
          <w:b/>
        </w:rPr>
        <w:t>Numerical modeling</w:t>
      </w:r>
      <w:r>
        <w:t xml:space="preserve">. For the numerical simulation of the </w:t>
      </w:r>
      <w:proofErr w:type="gramStart"/>
      <w:r>
        <w:t>process</w:t>
      </w:r>
      <w:proofErr w:type="gramEnd"/>
      <w:r>
        <w:t xml:space="preserve"> we set the following parameters: m = 1000, the number of steps </w:t>
      </w:r>
      <w:r>
        <w:t>was up to</w:t>
      </w:r>
      <w:r>
        <w:t xml:space="preserve"> 30 million. </w:t>
      </w:r>
      <w:r>
        <w:t>The</w:t>
      </w:r>
      <w:r>
        <w:t xml:space="preserve"> calculate</w:t>
      </w:r>
      <w:r>
        <w:t>d</w:t>
      </w:r>
      <w:r>
        <w:t xml:space="preserve"> densities </w:t>
      </w:r>
      <w:proofErr w:type="gramStart"/>
      <w:r>
        <w:t>are figured</w:t>
      </w:r>
      <w:proofErr w:type="gramEnd"/>
      <w:r>
        <w:t xml:space="preserve"> (Figs 1-4). Color scale from small (green) to large (red) density.</w:t>
      </w:r>
    </w:p>
    <w:p w:rsidR="00AE3E37" w:rsidRDefault="00BD2EB4" w:rsidP="00BD2EB4">
      <w:pPr>
        <w:pStyle w:val="a3"/>
        <w:spacing w:before="90" w:line="280" w:lineRule="auto"/>
        <w:ind w:left="100"/>
        <w:jc w:val="both"/>
      </w:pPr>
      <w:r>
        <w:t xml:space="preserve">The length of the run outside the red zone will be greater than in the red. Thus, it </w:t>
      </w:r>
      <w:proofErr w:type="gramStart"/>
      <w:r>
        <w:t>can be assumed</w:t>
      </w:r>
      <w:proofErr w:type="gramEnd"/>
      <w:r>
        <w:t xml:space="preserve"> that, some part of the substance will experience less impact from the milling elements. The real </w:t>
      </w:r>
      <w:proofErr w:type="spellStart"/>
      <w:r>
        <w:t>granulometric</w:t>
      </w:r>
      <w:proofErr w:type="spellEnd"/>
      <w:r>
        <w:t xml:space="preserve"> analysis of the material shows the presence of two distinct peaks in the size histogra</w:t>
      </w:r>
      <w:r>
        <w:t xml:space="preserve">ms. </w:t>
      </w:r>
      <w:proofErr w:type="gramStart"/>
      <w:r>
        <w:t>This can be explained by the</w:t>
      </w:r>
      <w:r>
        <w:t xml:space="preserve"> model</w:t>
      </w:r>
      <w:proofErr w:type="gramEnd"/>
      <w:r>
        <w:t>.</w:t>
      </w:r>
    </w:p>
    <w:p w:rsidR="00AE3E37" w:rsidRDefault="00A9710C" w:rsidP="00E40555">
      <w:pPr>
        <w:pStyle w:val="3"/>
        <w:spacing w:before="74"/>
        <w:rPr>
          <w:b w:val="0"/>
          <w:sz w:val="16"/>
        </w:rPr>
      </w:pPr>
      <w:r>
        <w:rPr>
          <w:b w:val="0"/>
        </w:rPr>
        <w:br w:type="column"/>
      </w:r>
      <w:r w:rsidR="00E40555">
        <w:rPr>
          <w:noProof/>
          <w:lang w:val="ru-RU" w:eastAsia="ru-RU"/>
        </w:rPr>
        <w:drawing>
          <wp:inline distT="0" distB="0" distL="0" distR="0" wp14:anchorId="3F67879B" wp14:editId="537E07AC">
            <wp:extent cx="3165475" cy="24320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43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5973B9" w:rsidRDefault="00E40555" w:rsidP="00E40555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E40555">
        <w:rPr>
          <w:sz w:val="18"/>
        </w:rPr>
        <w:t>Rusakov</w:t>
      </w:r>
      <w:proofErr w:type="spellEnd"/>
      <w:r>
        <w:rPr>
          <w:sz w:val="18"/>
        </w:rPr>
        <w:t xml:space="preserve"> O</w:t>
      </w:r>
      <w:r w:rsidRPr="00E40555">
        <w:rPr>
          <w:sz w:val="18"/>
        </w:rPr>
        <w:t xml:space="preserve">, </w:t>
      </w:r>
      <w:proofErr w:type="spellStart"/>
      <w:r w:rsidRPr="00E40555">
        <w:rPr>
          <w:sz w:val="18"/>
        </w:rPr>
        <w:t>Karlitskaya</w:t>
      </w:r>
      <w:proofErr w:type="spellEnd"/>
      <w:r>
        <w:rPr>
          <w:sz w:val="18"/>
        </w:rPr>
        <w:t xml:space="preserve"> A (2005)</w:t>
      </w:r>
      <w:r w:rsidRPr="00E40555">
        <w:rPr>
          <w:sz w:val="18"/>
        </w:rPr>
        <w:t xml:space="preserve"> Fractal structure of rates and one generalization of the Cantor staircase function</w:t>
      </w:r>
      <w:r>
        <w:rPr>
          <w:sz w:val="18"/>
        </w:rPr>
        <w:t xml:space="preserve">. </w:t>
      </w:r>
      <w:r w:rsidRPr="00E40555">
        <w:rPr>
          <w:sz w:val="18"/>
        </w:rPr>
        <w:t>Survey of applied and industrial mathematics. 12</w:t>
      </w:r>
      <w:r>
        <w:rPr>
          <w:sz w:val="18"/>
        </w:rPr>
        <w:t>(4):</w:t>
      </w:r>
      <w:r w:rsidRPr="00E40555">
        <w:rPr>
          <w:sz w:val="18"/>
        </w:rPr>
        <w:t xml:space="preserve"> 870-871.</w:t>
      </w:r>
    </w:p>
    <w:p w:rsidR="001D6077" w:rsidRDefault="001D6077" w:rsidP="00411B3F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1D6077">
        <w:rPr>
          <w:sz w:val="18"/>
        </w:rPr>
        <w:t>Rusakov</w:t>
      </w:r>
      <w:proofErr w:type="spellEnd"/>
      <w:r>
        <w:rPr>
          <w:sz w:val="18"/>
        </w:rPr>
        <w:t xml:space="preserve"> O</w:t>
      </w:r>
      <w:proofErr w:type="gramStart"/>
      <w:r>
        <w:rPr>
          <w:sz w:val="18"/>
        </w:rPr>
        <w:t xml:space="preserve">, </w:t>
      </w:r>
      <w:r w:rsidRPr="001D6077">
        <w:rPr>
          <w:sz w:val="18"/>
        </w:rPr>
        <w:t xml:space="preserve"> </w:t>
      </w:r>
      <w:proofErr w:type="spellStart"/>
      <w:r w:rsidRPr="001D6077">
        <w:rPr>
          <w:sz w:val="18"/>
        </w:rPr>
        <w:t>Laskin</w:t>
      </w:r>
      <w:proofErr w:type="spellEnd"/>
      <w:proofErr w:type="gramEnd"/>
      <w:r>
        <w:rPr>
          <w:sz w:val="18"/>
        </w:rPr>
        <w:t xml:space="preserve"> M</w:t>
      </w:r>
      <w:r>
        <w:rPr>
          <w:sz w:val="18"/>
        </w:rPr>
        <w:t xml:space="preserve"> (2017)</w:t>
      </w:r>
      <w:r>
        <w:rPr>
          <w:sz w:val="18"/>
        </w:rPr>
        <w:t xml:space="preserve"> </w:t>
      </w:r>
      <w:r w:rsidRPr="001D6077">
        <w:rPr>
          <w:sz w:val="18"/>
        </w:rPr>
        <w:t>A stochastic model for stationary dynamics of prices in real estate markets. AIP Conference Proceedings 1836, 020087</w:t>
      </w:r>
      <w:r>
        <w:rPr>
          <w:sz w:val="18"/>
        </w:rPr>
        <w:t xml:space="preserve"> </w:t>
      </w:r>
    </w:p>
    <w:p w:rsidR="004538EE" w:rsidRPr="001D6077" w:rsidRDefault="004538EE" w:rsidP="00411B3F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1D6077">
        <w:rPr>
          <w:sz w:val="18"/>
        </w:rPr>
        <w:t xml:space="preserve">Rammal R, Toulouse G (1983) Random walks on fractal structures and percolation clusters. Journal de Physique </w:t>
      </w:r>
      <w:proofErr w:type="spellStart"/>
      <w:r w:rsidRPr="001D6077">
        <w:rPr>
          <w:sz w:val="18"/>
        </w:rPr>
        <w:t>Lettres</w:t>
      </w:r>
      <w:proofErr w:type="spellEnd"/>
      <w:r w:rsidRPr="001D6077">
        <w:rPr>
          <w:sz w:val="18"/>
        </w:rPr>
        <w:t xml:space="preserve">. </w:t>
      </w:r>
      <w:proofErr w:type="gramStart"/>
      <w:r w:rsidRPr="001D6077">
        <w:rPr>
          <w:sz w:val="18"/>
        </w:rPr>
        <w:t>44</w:t>
      </w:r>
      <w:proofErr w:type="gramEnd"/>
      <w:r w:rsidRPr="001D6077">
        <w:rPr>
          <w:sz w:val="18"/>
        </w:rPr>
        <w:t xml:space="preserve"> (1): 13–22.</w:t>
      </w:r>
    </w:p>
    <w:p w:rsidR="001D6077" w:rsidRDefault="001D6077" w:rsidP="001D6077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4538EE">
        <w:rPr>
          <w:sz w:val="18"/>
        </w:rPr>
        <w:t>Codling E</w:t>
      </w:r>
      <w:r>
        <w:rPr>
          <w:sz w:val="18"/>
        </w:rPr>
        <w:t>,</w:t>
      </w:r>
      <w:r w:rsidRPr="004538EE">
        <w:rPr>
          <w:sz w:val="18"/>
        </w:rPr>
        <w:t xml:space="preserve"> Plank M</w:t>
      </w:r>
      <w:r>
        <w:rPr>
          <w:sz w:val="18"/>
        </w:rPr>
        <w:t>,</w:t>
      </w:r>
      <w:r w:rsidRPr="004538EE">
        <w:rPr>
          <w:sz w:val="18"/>
        </w:rPr>
        <w:t xml:space="preserve"> </w:t>
      </w:r>
      <w:proofErr w:type="spellStart"/>
      <w:r w:rsidRPr="004538EE">
        <w:rPr>
          <w:sz w:val="18"/>
        </w:rPr>
        <w:t>Benhamou</w:t>
      </w:r>
      <w:proofErr w:type="spellEnd"/>
      <w:r w:rsidRPr="004538EE">
        <w:rPr>
          <w:sz w:val="18"/>
        </w:rPr>
        <w:t xml:space="preserve"> S (2008)</w:t>
      </w:r>
      <w:r>
        <w:rPr>
          <w:sz w:val="18"/>
        </w:rPr>
        <w:t xml:space="preserve"> </w:t>
      </w:r>
      <w:r w:rsidRPr="004538EE">
        <w:rPr>
          <w:sz w:val="18"/>
        </w:rPr>
        <w:t xml:space="preserve">Random walk models in biology. Journal of </w:t>
      </w:r>
      <w:proofErr w:type="gramStart"/>
      <w:r w:rsidRPr="004538EE">
        <w:rPr>
          <w:sz w:val="18"/>
        </w:rPr>
        <w:t>The</w:t>
      </w:r>
      <w:proofErr w:type="gramEnd"/>
      <w:r w:rsidRPr="004538EE">
        <w:rPr>
          <w:sz w:val="18"/>
        </w:rPr>
        <w:t xml:space="preserve"> Royal Society Interface. </w:t>
      </w:r>
      <w:proofErr w:type="gramStart"/>
      <w:r w:rsidRPr="004538EE">
        <w:rPr>
          <w:sz w:val="18"/>
        </w:rPr>
        <w:t>5</w:t>
      </w:r>
      <w:proofErr w:type="gramEnd"/>
      <w:r w:rsidRPr="004538EE">
        <w:rPr>
          <w:sz w:val="18"/>
        </w:rPr>
        <w:t xml:space="preserve"> (25): 813–834.</w:t>
      </w:r>
    </w:p>
    <w:p w:rsidR="005973B9" w:rsidRDefault="00E40555" w:rsidP="00E40555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E40555">
        <w:rPr>
          <w:sz w:val="18"/>
        </w:rPr>
        <w:t>Gusev</w:t>
      </w:r>
      <w:proofErr w:type="spellEnd"/>
      <w:r w:rsidRPr="00E40555">
        <w:rPr>
          <w:sz w:val="18"/>
        </w:rPr>
        <w:t xml:space="preserve"> A, </w:t>
      </w:r>
      <w:proofErr w:type="spellStart"/>
      <w:r w:rsidRPr="00E40555">
        <w:rPr>
          <w:sz w:val="18"/>
        </w:rPr>
        <w:t>Kurlov</w:t>
      </w:r>
      <w:proofErr w:type="spellEnd"/>
      <w:r w:rsidRPr="00E40555">
        <w:rPr>
          <w:sz w:val="18"/>
        </w:rPr>
        <w:t xml:space="preserve"> A </w:t>
      </w:r>
      <w:r>
        <w:rPr>
          <w:sz w:val="18"/>
        </w:rPr>
        <w:t xml:space="preserve">(2008) </w:t>
      </w:r>
      <w:r w:rsidRPr="00E40555">
        <w:rPr>
          <w:sz w:val="18"/>
        </w:rPr>
        <w:t xml:space="preserve">Production of </w:t>
      </w:r>
      <w:proofErr w:type="spellStart"/>
      <w:r w:rsidRPr="00E40555">
        <w:rPr>
          <w:sz w:val="18"/>
        </w:rPr>
        <w:t>nanocrystalline</w:t>
      </w:r>
      <w:proofErr w:type="spellEnd"/>
      <w:r w:rsidRPr="00E40555">
        <w:rPr>
          <w:sz w:val="18"/>
        </w:rPr>
        <w:t xml:space="preserve"> powders by high-energy ball milling: model and experiment</w:t>
      </w:r>
      <w:r>
        <w:rPr>
          <w:sz w:val="18"/>
        </w:rPr>
        <w:t>.</w:t>
      </w:r>
      <w:r w:rsidRPr="00E40555">
        <w:rPr>
          <w:sz w:val="18"/>
        </w:rPr>
        <w:t xml:space="preserve"> Nanotechnology.  </w:t>
      </w:r>
      <w:proofErr w:type="gramStart"/>
      <w:r w:rsidRPr="00E40555">
        <w:rPr>
          <w:sz w:val="18"/>
        </w:rPr>
        <w:t>19</w:t>
      </w:r>
      <w:proofErr w:type="gramEnd"/>
      <w:r>
        <w:rPr>
          <w:sz w:val="18"/>
        </w:rPr>
        <w:t>(</w:t>
      </w:r>
      <w:r w:rsidRPr="00E40555">
        <w:rPr>
          <w:sz w:val="18"/>
        </w:rPr>
        <w:t>26</w:t>
      </w:r>
      <w:r>
        <w:rPr>
          <w:sz w:val="18"/>
        </w:rPr>
        <w:t>):</w:t>
      </w:r>
      <w:r w:rsidRPr="00E40555">
        <w:rPr>
          <w:sz w:val="18"/>
        </w:rPr>
        <w:t xml:space="preserve"> 265</w:t>
      </w:r>
      <w:r w:rsidR="004538EE">
        <w:rPr>
          <w:sz w:val="18"/>
        </w:rPr>
        <w:t> </w:t>
      </w:r>
      <w:r w:rsidRPr="00E40555">
        <w:rPr>
          <w:sz w:val="18"/>
        </w:rPr>
        <w:t>302</w:t>
      </w:r>
      <w:r w:rsidR="005973B9">
        <w:rPr>
          <w:sz w:val="18"/>
        </w:rPr>
        <w:t>.</w:t>
      </w:r>
    </w:p>
    <w:p w:rsidR="005973B9" w:rsidRPr="00E40555" w:rsidRDefault="005973B9" w:rsidP="005973B9">
      <w:pPr>
        <w:pStyle w:val="a3"/>
        <w:spacing w:before="85" w:line="216" w:lineRule="exact"/>
        <w:ind w:left="383" w:right="138" w:hanging="284"/>
        <w:jc w:val="both"/>
        <w:rPr>
          <w:rFonts w:ascii="Calibri" w:hAnsi="Calibri"/>
          <w:color w:val="FF0000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ru-RU" w:eastAsia="ru-RU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4EAB3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2C38BB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5"/>
        <w:gridCol w:w="5345"/>
      </w:tblGrid>
      <w:tr w:rsidR="002C38BB" w:rsidTr="002C38BB">
        <w:tc>
          <w:tcPr>
            <w:tcW w:w="5340" w:type="dxa"/>
          </w:tcPr>
          <w:p w:rsidR="002C38BB" w:rsidRDefault="002C38BB" w:rsidP="002C38BB">
            <w:pPr>
              <w:spacing w:before="92"/>
              <w:ind w:right="2685"/>
              <w:rPr>
                <w:rFonts w:ascii="Arial"/>
              </w:rPr>
            </w:pPr>
            <w:r>
              <w:rPr>
                <w:noProof/>
              </w:rPr>
              <w:t xml:space="preserve">     </w:t>
            </w:r>
            <w:r>
              <w:rPr>
                <w:noProof/>
                <w:lang w:val="ru-RU" w:eastAsia="ru-RU"/>
              </w:rPr>
              <w:drawing>
                <wp:inline distT="0" distB="0" distL="0" distR="0" wp14:anchorId="69298734" wp14:editId="7934D737">
                  <wp:extent cx="630069" cy="558061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umm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0069" cy="558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rFonts w:ascii="Arial"/>
                <w:color w:val="BF5A14"/>
              </w:rPr>
              <w:t>Biograph</w:t>
            </w:r>
            <w:r>
              <w:rPr>
                <w:rFonts w:ascii="Arial"/>
                <w:color w:val="BF5A14"/>
              </w:rPr>
              <w:t>y</w:t>
            </w:r>
          </w:p>
          <w:p w:rsidR="002C38BB" w:rsidRDefault="002C38BB" w:rsidP="002C38BB">
            <w:pPr>
              <w:spacing w:before="41" w:line="154" w:lineRule="exact"/>
              <w:ind w:left="215" w:right="232"/>
              <w:jc w:val="both"/>
              <w:rPr>
                <w:rFonts w:ascii="Arial"/>
                <w:sz w:val="14"/>
              </w:rPr>
            </w:pPr>
            <w:proofErr w:type="spellStart"/>
            <w:r w:rsidRPr="004F2A2B">
              <w:rPr>
                <w:rFonts w:ascii="Arial"/>
                <w:sz w:val="14"/>
              </w:rPr>
              <w:t>Vyacheslav</w:t>
            </w:r>
            <w:proofErr w:type="spellEnd"/>
            <w:r w:rsidRPr="004F2A2B">
              <w:rPr>
                <w:rFonts w:ascii="Arial"/>
                <w:sz w:val="14"/>
              </w:rPr>
              <w:t xml:space="preserve"> </w:t>
            </w:r>
            <w:proofErr w:type="spellStart"/>
            <w:r w:rsidRPr="004F2A2B">
              <w:rPr>
                <w:rFonts w:ascii="Arial"/>
                <w:sz w:val="14"/>
              </w:rPr>
              <w:t>Kalnitsky</w:t>
            </w:r>
            <w:proofErr w:type="spellEnd"/>
            <w:r w:rsidRPr="004F2A2B">
              <w:rPr>
                <w:rFonts w:ascii="Arial"/>
                <w:sz w:val="14"/>
              </w:rPr>
              <w:t xml:space="preserve"> has his expertise in geometry modelling of milling process. His research concerns such aspects as scaling of models, geometrical density evaluation etc.  This model </w:t>
            </w:r>
            <w:proofErr w:type="gramStart"/>
            <w:r w:rsidRPr="004F2A2B">
              <w:rPr>
                <w:rFonts w:ascii="Arial"/>
                <w:sz w:val="14"/>
              </w:rPr>
              <w:t xml:space="preserve">is </w:t>
            </w:r>
            <w:bookmarkStart w:id="0" w:name="_GoBack"/>
            <w:bookmarkEnd w:id="0"/>
            <w:r w:rsidRPr="004F2A2B">
              <w:rPr>
                <w:rFonts w:ascii="Arial"/>
                <w:sz w:val="14"/>
              </w:rPr>
              <w:t>based</w:t>
            </w:r>
            <w:proofErr w:type="gramEnd"/>
            <w:r w:rsidRPr="004F2A2B">
              <w:rPr>
                <w:rFonts w:ascii="Arial"/>
                <w:sz w:val="14"/>
              </w:rPr>
              <w:t xml:space="preserve"> on key idea of corresponding between individual and collective behavior of particles. The constructed model allowed </w:t>
            </w:r>
            <w:r w:rsidR="000155C3" w:rsidRPr="004F2A2B">
              <w:rPr>
                <w:rFonts w:ascii="Arial"/>
                <w:sz w:val="14"/>
              </w:rPr>
              <w:t>explaining</w:t>
            </w:r>
            <w:r w:rsidRPr="004F2A2B">
              <w:rPr>
                <w:rFonts w:ascii="Arial"/>
                <w:sz w:val="14"/>
              </w:rPr>
              <w:t xml:space="preserve"> the important aspects of the grinding process.</w:t>
            </w:r>
          </w:p>
          <w:p w:rsidR="002C38BB" w:rsidRDefault="002C38BB" w:rsidP="002C38BB">
            <w:pPr>
              <w:spacing w:before="62"/>
              <w:ind w:left="4217" w:right="4235"/>
              <w:rPr>
                <w:rFonts w:ascii="Arial"/>
                <w:sz w:val="14"/>
              </w:rPr>
            </w:pPr>
          </w:p>
          <w:p w:rsidR="002C38BB" w:rsidRPr="002C38BB" w:rsidRDefault="002C38BB" w:rsidP="002C38BB">
            <w:pPr>
              <w:jc w:val="center"/>
              <w:rPr>
                <w:rFonts w:ascii="Arial"/>
                <w:sz w:val="14"/>
              </w:rPr>
            </w:pPr>
            <w:r>
              <w:rPr>
                <w:rFonts w:ascii="Arial"/>
                <w:sz w:val="14"/>
              </w:rPr>
              <w:t xml:space="preserve">Email: </w:t>
            </w:r>
            <w:hyperlink r:id="rId11" w:history="1">
              <w:r w:rsidRPr="00CC13F9">
                <w:rPr>
                  <w:rStyle w:val="ac"/>
                  <w:rFonts w:ascii="Arial"/>
                  <w:sz w:val="14"/>
                </w:rPr>
                <w:t>st006987@spbu.</w:t>
              </w:r>
            </w:hyperlink>
            <w:r>
              <w:rPr>
                <w:rStyle w:val="ac"/>
                <w:rFonts w:ascii="Arial"/>
                <w:sz w:val="14"/>
              </w:rPr>
              <w:t>ru</w:t>
            </w:r>
          </w:p>
        </w:tc>
        <w:tc>
          <w:tcPr>
            <w:tcW w:w="5340" w:type="dxa"/>
          </w:tcPr>
          <w:p w:rsidR="002C38BB" w:rsidRDefault="002C38BB" w:rsidP="002C38BB">
            <w:pPr>
              <w:spacing w:before="92"/>
              <w:ind w:right="1788"/>
              <w:rPr>
                <w:rFonts w:ascii="Arial"/>
              </w:rPr>
            </w:pPr>
            <w:r>
              <w:rPr>
                <w:noProof/>
              </w:rPr>
              <w:t xml:space="preserve">   </w:t>
            </w:r>
            <w:r>
              <w:rPr>
                <w:noProof/>
                <w:lang w:val="ru-RU" w:eastAsia="ru-RU"/>
              </w:rPr>
              <w:drawing>
                <wp:inline distT="0" distB="0" distL="0" distR="0" wp14:anchorId="20A87D9E" wp14:editId="7AE7ECA3">
                  <wp:extent cx="529070" cy="558061"/>
                  <wp:effectExtent l="0" t="0" r="4445" b="0"/>
                  <wp:docPr id="3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umm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9070" cy="558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rFonts w:ascii="Arial"/>
                <w:color w:val="BF5A14"/>
              </w:rPr>
              <w:t>Biography</w:t>
            </w:r>
          </w:p>
          <w:p w:rsidR="002C38BB" w:rsidRDefault="004538EE" w:rsidP="002C38BB">
            <w:pPr>
              <w:spacing w:before="41" w:line="154" w:lineRule="exact"/>
              <w:ind w:left="213" w:right="231"/>
              <w:jc w:val="both"/>
              <w:rPr>
                <w:rFonts w:ascii="Arial"/>
                <w:sz w:val="14"/>
              </w:rPr>
            </w:pPr>
            <w:r>
              <w:rPr>
                <w:rFonts w:ascii="Arial"/>
                <w:sz w:val="14"/>
              </w:rPr>
              <w:t xml:space="preserve">Oleg </w:t>
            </w:r>
            <w:proofErr w:type="spellStart"/>
            <w:r>
              <w:rPr>
                <w:rFonts w:ascii="Arial"/>
                <w:sz w:val="14"/>
              </w:rPr>
              <w:t>Rusakov</w:t>
            </w:r>
            <w:proofErr w:type="spellEnd"/>
            <w:r w:rsidR="002C38BB" w:rsidRPr="004F2A2B">
              <w:rPr>
                <w:rFonts w:ascii="Arial"/>
                <w:sz w:val="14"/>
              </w:rPr>
              <w:t xml:space="preserve"> has his expertise in </w:t>
            </w:r>
            <w:r>
              <w:rPr>
                <w:rFonts w:ascii="Arial"/>
                <w:sz w:val="14"/>
              </w:rPr>
              <w:t>stochastic analysis</w:t>
            </w:r>
            <w:r w:rsidR="002C38BB" w:rsidRPr="004F2A2B">
              <w:rPr>
                <w:rFonts w:ascii="Arial"/>
                <w:sz w:val="14"/>
              </w:rPr>
              <w:t xml:space="preserve">. </w:t>
            </w:r>
            <w:r>
              <w:rPr>
                <w:rFonts w:ascii="Arial"/>
                <w:sz w:val="14"/>
              </w:rPr>
              <w:t xml:space="preserve">He is generalized the random walk on polygons. Created the computer program for stochastic modelling in plane. </w:t>
            </w:r>
            <w:r w:rsidR="001D6077">
              <w:rPr>
                <w:rFonts w:ascii="Arial"/>
                <w:sz w:val="14"/>
              </w:rPr>
              <w:t>He described many applications of it in financial mathematics.</w:t>
            </w:r>
          </w:p>
          <w:p w:rsidR="002C38BB" w:rsidRDefault="002C38BB" w:rsidP="002C38BB">
            <w:pPr>
              <w:spacing w:before="62"/>
              <w:ind w:left="4217" w:right="4235"/>
              <w:rPr>
                <w:rFonts w:ascii="Arial"/>
                <w:sz w:val="14"/>
              </w:rPr>
            </w:pPr>
          </w:p>
          <w:p w:rsidR="002C38BB" w:rsidRPr="002C38BB" w:rsidRDefault="002C38BB" w:rsidP="002C38BB">
            <w:pPr>
              <w:jc w:val="center"/>
              <w:rPr>
                <w:rFonts w:ascii="Arial"/>
                <w:sz w:val="14"/>
              </w:rPr>
            </w:pPr>
            <w:r>
              <w:rPr>
                <w:rFonts w:ascii="Arial"/>
                <w:sz w:val="14"/>
              </w:rPr>
              <w:t xml:space="preserve">Email: </w:t>
            </w:r>
            <w:hyperlink r:id="rId13" w:history="1">
              <w:r w:rsidRPr="00CC13F9">
                <w:rPr>
                  <w:rStyle w:val="ac"/>
                  <w:rFonts w:ascii="Arial"/>
                  <w:sz w:val="14"/>
                </w:rPr>
                <w:t>st006987@spbu.</w:t>
              </w:r>
            </w:hyperlink>
            <w:r>
              <w:rPr>
                <w:rStyle w:val="ac"/>
                <w:rFonts w:ascii="Arial"/>
                <w:sz w:val="14"/>
              </w:rPr>
              <w:t>ru</w:t>
            </w:r>
          </w:p>
        </w:tc>
      </w:tr>
    </w:tbl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404C2A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505E" w:rsidRDefault="0010505E">
      <w:r>
        <w:separator/>
      </w:r>
    </w:p>
  </w:endnote>
  <w:endnote w:type="continuationSeparator" w:id="0">
    <w:p w:rsidR="0010505E" w:rsidRDefault="00105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505E" w:rsidRDefault="0010505E">
      <w:r>
        <w:separator/>
      </w:r>
    </w:p>
  </w:footnote>
  <w:footnote w:type="continuationSeparator" w:id="0">
    <w:p w:rsidR="0010505E" w:rsidRDefault="001050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155C3"/>
    <w:rsid w:val="000E2911"/>
    <w:rsid w:val="0010505E"/>
    <w:rsid w:val="001263DF"/>
    <w:rsid w:val="001D6077"/>
    <w:rsid w:val="002455EC"/>
    <w:rsid w:val="00292ED9"/>
    <w:rsid w:val="002C38BB"/>
    <w:rsid w:val="00404E5B"/>
    <w:rsid w:val="00414F7B"/>
    <w:rsid w:val="004355DC"/>
    <w:rsid w:val="004538EE"/>
    <w:rsid w:val="004749B4"/>
    <w:rsid w:val="00494130"/>
    <w:rsid w:val="004F2A2B"/>
    <w:rsid w:val="004F3523"/>
    <w:rsid w:val="00507CFA"/>
    <w:rsid w:val="005973B9"/>
    <w:rsid w:val="005B3A56"/>
    <w:rsid w:val="006060CE"/>
    <w:rsid w:val="0063497F"/>
    <w:rsid w:val="00827154"/>
    <w:rsid w:val="00873DF0"/>
    <w:rsid w:val="008756E6"/>
    <w:rsid w:val="008A08B6"/>
    <w:rsid w:val="008B2A2A"/>
    <w:rsid w:val="009B2D44"/>
    <w:rsid w:val="00A07E82"/>
    <w:rsid w:val="00A9710C"/>
    <w:rsid w:val="00AE3E37"/>
    <w:rsid w:val="00B21A57"/>
    <w:rsid w:val="00BD2EB4"/>
    <w:rsid w:val="00C33602"/>
    <w:rsid w:val="00C55FFF"/>
    <w:rsid w:val="00CD6F55"/>
    <w:rsid w:val="00DE3104"/>
    <w:rsid w:val="00E02BB1"/>
    <w:rsid w:val="00E23B30"/>
    <w:rsid w:val="00E26B10"/>
    <w:rsid w:val="00E40555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79DCC5D-354E-42AC-9D79-8CD31AEAB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table" w:styleId="ad">
    <w:name w:val="Table Grid"/>
    <w:basedOn w:val="a1"/>
    <w:uiPriority w:val="59"/>
    <w:rsid w:val="002C3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st006987@spbu.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t006987@spbu.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512</Words>
  <Characters>2924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Кальницкая Марина Алексеевна</cp:lastModifiedBy>
  <cp:revision>5</cp:revision>
  <dcterms:created xsi:type="dcterms:W3CDTF">2018-09-21T18:20:00Z</dcterms:created>
  <dcterms:modified xsi:type="dcterms:W3CDTF">2018-09-21T20:11:00Z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