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B155CD" w:rsidP="00494130">
      <w:pPr>
        <w:pStyle w:val="1"/>
        <w:spacing w:before="170"/>
        <w:ind w:left="0"/>
      </w:pPr>
      <w:r>
        <w:rPr>
          <w:color w:val="337AB7"/>
        </w:rPr>
        <w:t>The Self-</w:t>
      </w:r>
      <w:proofErr w:type="spellStart"/>
      <w:r>
        <w:rPr>
          <w:color w:val="337AB7"/>
        </w:rPr>
        <w:t>Nonself</w:t>
      </w:r>
      <w:proofErr w:type="spellEnd"/>
      <w:r>
        <w:rPr>
          <w:color w:val="337AB7"/>
        </w:rPr>
        <w:t xml:space="preserve"> Circulation Theory: </w:t>
      </w:r>
      <w:r w:rsidR="00BA37FB">
        <w:rPr>
          <w:color w:val="337AB7"/>
        </w:rPr>
        <w:t>New Perspectives of Advanced Future Studies</w:t>
      </w:r>
    </w:p>
    <w:p w:rsidR="00AE3E37" w:rsidRDefault="00BA37FB" w:rsidP="00BA37F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Masatoshi Murase, International Research Unit of Advanced Future Studies (IRU-AFS) and Yukawa Institute for Theoretical Physics (YITP), Kyoto University, Japan</w:t>
      </w:r>
    </w:p>
    <w:p w:rsidR="00BA37FB" w:rsidRDefault="00BA37FB" w:rsidP="00BA37FB">
      <w:pPr>
        <w:pStyle w:val="a3"/>
        <w:spacing w:before="73" w:line="198" w:lineRule="exact"/>
        <w:ind w:left="100" w:right="5987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3B3C64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Globalization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occurs due to advanced science and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revolutionary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technology. Despite our extensive efforts, it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brings about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contradictory situations such as the co-existence of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benefits and wonders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Indeed,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 has allowed us to solve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simple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problems, but it can i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ncrease the potential risks of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problems, leading to system-wide disruptions. Our efforts to solve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problems often cause further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systemic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problems, beyond our expectations. </w:t>
      </w:r>
    </w:p>
    <w:p w:rsidR="00EC2460" w:rsidRPr="00EC2460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What can we do to protect against such emerging systemic problems? We need a Copernican revolution for paradigm shifts in our cogni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tion. We should apply the same systemic forces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generate the systemic problems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original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place.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Ironically speaking, emerging systemic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problems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could be only approached by the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same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emerging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>systemic problems</w:t>
      </w:r>
      <w:r w:rsidR="00CC6F9C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EC2460" w:rsidRPr="00EC2460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How can we do this? Let us think about nature as it is. Nature is full </w:t>
      </w:r>
      <w:r w:rsidR="003B3C6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self-similarities, known as fractals. In the seemingly complex fractals,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particular characteristic patterns of structures appear successively at descending or ascending scales so that their parts, at any scale, are similar in shape to the whole.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The resulting self-similar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complex fractal nature has been fully understood on its own terms in the form of simple rules. </w:t>
      </w:r>
    </w:p>
    <w:p w:rsidR="00B155CD" w:rsidRDefault="00EC2460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present paper extends the idea of fractals from the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self-similar static structures view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the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self-similar dynamic processes view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essential to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living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systems in order to explore simple principles beyond complexity. The only assumption is as follows: Simple principles of complex “living” dynamics can be deduced from the demand that the underlying principles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must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self-consistent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”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, regardless of the scale with which we are concerned. It is the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>“self–</w:t>
      </w:r>
      <w:proofErr w:type="spellStart"/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>nonself</w:t>
      </w:r>
      <w:proofErr w:type="spellEnd"/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circulation principle” originally given by </w:t>
      </w:r>
      <w:r w:rsid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Masatoshi </w:t>
      </w:r>
      <w:r w:rsidR="00B155CD" w:rsidRPr="00B155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Murase (2000) </w:t>
      </w:r>
      <w:r w:rsidRPr="00EC2460">
        <w:rPr>
          <w:rFonts w:ascii="Tw Cen MT" w:eastAsia="Tw Cen MT" w:hAnsi="Tw Cen MT" w:cs="Tw Cen MT"/>
          <w:b w:val="0"/>
          <w:bCs w:val="0"/>
          <w:sz w:val="18"/>
          <w:szCs w:val="18"/>
        </w:rPr>
        <w:t>that governs the complexity of life.</w:t>
      </w:r>
    </w:p>
    <w:p w:rsidR="00B155CD" w:rsidRDefault="00B155CD" w:rsidP="003B3C64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Masatoshi Murase (2000)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Life as History: Construction of Self-</w:t>
      </w:r>
      <w:proofErr w:type="spellStart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Nonself</w:t>
      </w:r>
      <w:proofErr w:type="spellEnd"/>
      <w:r w:rsidRPr="00883E1F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 Circulation Theory. Kyoto University Press</w:t>
      </w:r>
      <w:bookmarkStart w:id="0" w:name="_GoBack"/>
      <w:bookmarkEnd w:id="0"/>
    </w:p>
    <w:p w:rsidR="00AE3E37" w:rsidRDefault="00A9710C" w:rsidP="003B3C64">
      <w:pPr>
        <w:pStyle w:val="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B859FF">
      <w:pPr>
        <w:pStyle w:val="a3"/>
        <w:spacing w:before="2"/>
        <w:rPr>
          <w:rFonts w:ascii="Arial"/>
          <w:b/>
          <w:sz w:val="16"/>
        </w:rPr>
      </w:pPr>
      <w:r w:rsidRPr="000172D8">
        <w:rPr>
          <w:rFonts w:ascii="Bookman Old Style" w:hAnsi="Bookman Old Style"/>
          <w:noProof/>
          <w:sz w:val="24"/>
        </w:rPr>
        <w:drawing>
          <wp:anchor distT="0" distB="0" distL="114300" distR="114300" simplePos="0" relativeHeight="251670016" behindDoc="0" locked="0" layoutInCell="1" allowOverlap="1" wp14:anchorId="138C2D76" wp14:editId="03B8B594">
            <wp:simplePos x="0" y="0"/>
            <wp:positionH relativeFrom="column">
              <wp:posOffset>703580</wp:posOffset>
            </wp:positionH>
            <wp:positionV relativeFrom="paragraph">
              <wp:posOffset>5080</wp:posOffset>
            </wp:positionV>
            <wp:extent cx="2099945" cy="1492885"/>
            <wp:effectExtent l="0" t="0" r="0" b="0"/>
            <wp:wrapSquare wrapText="bothSides"/>
            <wp:docPr id="81" name="図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59FF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859FF" w:rsidRDefault="00B859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865E9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(2013) Investigating polluted environment adaptation syndrome based on structuralism: A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 as a unified theory of life, Japanese Journal of Clinical Ecology, 22, 80-91</w:t>
      </w:r>
      <w:r w:rsidR="005973B9" w:rsidRPr="005973B9">
        <w:rPr>
          <w:sz w:val="18"/>
        </w:rPr>
        <w:t>.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859FF">
        <w:rPr>
          <w:sz w:val="18"/>
        </w:rPr>
        <w:t>Murase, M. and Murase, T. (2014) Structuralism revisited: On the basis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6, 27-43</w:t>
      </w:r>
      <w:r w:rsidR="005973B9">
        <w:rPr>
          <w:sz w:val="18"/>
        </w:rPr>
        <w:t>.</w:t>
      </w:r>
    </w:p>
    <w:p w:rsidR="005973B9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and Murase, T. (2015) Synchronization of Arts and Sciences: The Essence of Mind and Problem of Education, Journal of Quality Education, 7, 1-28</w:t>
      </w:r>
      <w:r w:rsidR="005973B9">
        <w:rPr>
          <w:sz w:val="18"/>
        </w:rPr>
        <w:t>.</w:t>
      </w:r>
    </w:p>
    <w:p w:rsidR="00B859FF" w:rsidRPr="00B859FF" w:rsidRDefault="00B859FF" w:rsidP="00B859F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sz w:val="18"/>
        </w:rPr>
        <w:t>Murase, M. Murase, I. and Murase, T. (2017) Towards the Origin of Learning and Playing: From the Perspective of Self-</w:t>
      </w:r>
      <w:proofErr w:type="spellStart"/>
      <w:r w:rsidRPr="00B859FF">
        <w:rPr>
          <w:sz w:val="18"/>
        </w:rPr>
        <w:t>nonself</w:t>
      </w:r>
      <w:proofErr w:type="spellEnd"/>
      <w:r w:rsidRPr="00B859FF">
        <w:rPr>
          <w:sz w:val="18"/>
        </w:rPr>
        <w:t xml:space="preserve"> Circulation Theory, Journal of Quality Education, 8, 1-29</w:t>
      </w:r>
    </w:p>
    <w:p w:rsidR="00B859FF" w:rsidRPr="00B859FF" w:rsidRDefault="00B859FF" w:rsidP="00257CB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59FF">
        <w:rPr>
          <w:rFonts w:eastAsiaTheme="minorEastAsia"/>
          <w:sz w:val="18"/>
          <w:lang w:eastAsia="ja-JP"/>
        </w:rPr>
        <w:t xml:space="preserve">Masatoshi Murase (2018) </w:t>
      </w:r>
      <w:r w:rsidRPr="00B859FF">
        <w:rPr>
          <w:rFonts w:eastAsiaTheme="minorEastAsia"/>
          <w:sz w:val="18"/>
          <w:lang w:eastAsia="ja-JP"/>
        </w:rPr>
        <w:t>A Self-Similar Dynamic Systems Perspective of “Living” Nature:</w:t>
      </w:r>
      <w:r>
        <w:rPr>
          <w:rFonts w:eastAsiaTheme="minorEastAsia"/>
          <w:sz w:val="18"/>
          <w:lang w:eastAsia="ja-JP"/>
        </w:rPr>
        <w:t xml:space="preserve"> </w:t>
      </w:r>
      <w:r w:rsidRPr="00B859FF">
        <w:rPr>
          <w:rFonts w:eastAsiaTheme="minorEastAsia"/>
          <w:sz w:val="18"/>
          <w:lang w:eastAsia="ja-JP"/>
        </w:rPr>
        <w:t>The Self–</w:t>
      </w:r>
      <w:proofErr w:type="spellStart"/>
      <w:r w:rsidRPr="00B859FF">
        <w:rPr>
          <w:rFonts w:eastAsiaTheme="minorEastAsia"/>
          <w:sz w:val="18"/>
          <w:lang w:eastAsia="ja-JP"/>
        </w:rPr>
        <w:t>Nonself</w:t>
      </w:r>
      <w:proofErr w:type="spellEnd"/>
      <w:r w:rsidRPr="00B859FF">
        <w:rPr>
          <w:rFonts w:eastAsiaTheme="minorEastAsia"/>
          <w:sz w:val="18"/>
          <w:lang w:eastAsia="ja-JP"/>
        </w:rPr>
        <w:t xml:space="preserve"> Circulation Principle Beyond Complexity</w:t>
      </w:r>
      <w:r>
        <w:rPr>
          <w:rFonts w:eastAsiaTheme="minorEastAsia"/>
          <w:sz w:val="18"/>
          <w:lang w:eastAsia="ja-JP"/>
        </w:rPr>
        <w:t>. “Kyoto Manifesto” Springer.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07A3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36FB7" w:rsidRDefault="00636FB7" w:rsidP="00404E5B">
      <w:pPr>
        <w:spacing w:before="92"/>
        <w:ind w:right="4234"/>
        <w:rPr>
          <w:noProof/>
        </w:rPr>
      </w:pPr>
      <w:r w:rsidRPr="007A229A">
        <w:rPr>
          <w:noProof/>
        </w:rPr>
        <w:drawing>
          <wp:anchor distT="0" distB="0" distL="114300" distR="114300" simplePos="0" relativeHeight="251655680" behindDoc="0" locked="0" layoutInCell="1" allowOverlap="1" wp14:anchorId="5EE92704" wp14:editId="318ABDC3">
            <wp:simplePos x="0" y="0"/>
            <wp:positionH relativeFrom="column">
              <wp:posOffset>681990</wp:posOffset>
            </wp:positionH>
            <wp:positionV relativeFrom="paragraph">
              <wp:posOffset>29210</wp:posOffset>
            </wp:positionV>
            <wp:extent cx="637540" cy="579755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636FB7" w:rsidRDefault="00636FB7" w:rsidP="00404E5B">
      <w:pPr>
        <w:spacing w:before="92"/>
        <w:ind w:right="4234"/>
        <w:rPr>
          <w:noProof/>
        </w:rPr>
      </w:pPr>
    </w:p>
    <w:p w:rsidR="00AE3E37" w:rsidRDefault="00A9710C" w:rsidP="00404E5B">
      <w:pPr>
        <w:spacing w:before="92"/>
        <w:ind w:right="4234"/>
        <w:rPr>
          <w:noProof/>
          <w:lang w:eastAsia="ja-JP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636FB7" w:rsidRPr="00636FB7" w:rsidRDefault="00636FB7" w:rsidP="00636FB7">
      <w:pPr>
        <w:rPr>
          <w:rFonts w:eastAsia="Osaka"/>
          <w:color w:val="000000"/>
          <w:sz w:val="16"/>
          <w:szCs w:val="16"/>
        </w:rPr>
      </w:pPr>
      <w:r w:rsidRPr="00636FB7">
        <w:rPr>
          <w:rFonts w:eastAsia="Osaka" w:hint="eastAsia"/>
          <w:b/>
          <w:color w:val="000000"/>
          <w:sz w:val="16"/>
          <w:szCs w:val="16"/>
        </w:rPr>
        <w:t xml:space="preserve">Masatoshi Murase </w:t>
      </w:r>
      <w:r w:rsidRPr="00636FB7">
        <w:rPr>
          <w:rFonts w:eastAsia="Osaka" w:hint="eastAsia"/>
          <w:color w:val="000000"/>
          <w:sz w:val="16"/>
          <w:szCs w:val="16"/>
        </w:rPr>
        <w:t xml:space="preserve">is </w:t>
      </w:r>
      <w:r w:rsidRPr="00636FB7">
        <w:rPr>
          <w:rFonts w:eastAsia="Osaka"/>
          <w:color w:val="000000"/>
          <w:sz w:val="16"/>
          <w:szCs w:val="16"/>
        </w:rPr>
        <w:t xml:space="preserve">an </w:t>
      </w:r>
      <w:r w:rsidRPr="00636FB7">
        <w:rPr>
          <w:rFonts w:eastAsia="Osaka" w:hint="eastAsia"/>
          <w:color w:val="000000"/>
          <w:sz w:val="16"/>
          <w:szCs w:val="16"/>
        </w:rPr>
        <w:t>Associate Professor of Yukawa Institute for Theoretical Physics at Kyoto University</w:t>
      </w:r>
      <w:r w:rsidRPr="00636FB7">
        <w:rPr>
          <w:rFonts w:eastAsia="Osaka"/>
          <w:color w:val="000000"/>
          <w:sz w:val="16"/>
          <w:szCs w:val="16"/>
        </w:rPr>
        <w:t xml:space="preserve">, and is the editor-in-chief of the </w:t>
      </w:r>
      <w:r w:rsidRPr="00636FB7">
        <w:rPr>
          <w:rFonts w:eastAsia="Osaka"/>
          <w:i/>
          <w:color w:val="000000"/>
          <w:sz w:val="16"/>
          <w:szCs w:val="16"/>
        </w:rPr>
        <w:t>Journal of Integrated Creative Studies</w:t>
      </w:r>
      <w:r w:rsidRPr="00636FB7">
        <w:rPr>
          <w:rFonts w:eastAsia="Osaka"/>
          <w:color w:val="000000"/>
          <w:sz w:val="16"/>
          <w:szCs w:val="16"/>
        </w:rPr>
        <w:t xml:space="preserve"> (ISSN: 242-0370)</w:t>
      </w:r>
      <w:r w:rsidRPr="00636FB7">
        <w:rPr>
          <w:rFonts w:eastAsia="Osaka" w:hint="eastAsia"/>
          <w:color w:val="000000"/>
          <w:sz w:val="16"/>
          <w:szCs w:val="16"/>
        </w:rPr>
        <w:t xml:space="preserve">. He is also Director of </w:t>
      </w:r>
      <w:r w:rsidRPr="00636FB7">
        <w:rPr>
          <w:rFonts w:eastAsia="Osaka"/>
          <w:color w:val="000000"/>
          <w:sz w:val="16"/>
          <w:szCs w:val="16"/>
        </w:rPr>
        <w:t>Research Promotion Strategy Office</w:t>
      </w:r>
      <w:r w:rsidRPr="00636FB7">
        <w:rPr>
          <w:rFonts w:eastAsia="Osaka" w:hint="eastAsia"/>
          <w:color w:val="000000"/>
          <w:sz w:val="16"/>
          <w:szCs w:val="16"/>
        </w:rPr>
        <w:t xml:space="preserve"> at </w:t>
      </w:r>
      <w:r w:rsidRPr="00636FB7">
        <w:rPr>
          <w:rFonts w:eastAsia="Osaka"/>
          <w:color w:val="000000"/>
          <w:sz w:val="16"/>
          <w:szCs w:val="16"/>
        </w:rPr>
        <w:t>The International Research Unit of Advanced Future Studies</w:t>
      </w:r>
      <w:r w:rsidRPr="00636FB7">
        <w:rPr>
          <w:rFonts w:eastAsia="Osaka" w:hint="eastAsia"/>
          <w:color w:val="000000"/>
          <w:sz w:val="16"/>
          <w:szCs w:val="16"/>
        </w:rPr>
        <w:t xml:space="preserve"> of Kyoto University. He</w:t>
      </w:r>
      <w:r w:rsidRPr="00636FB7">
        <w:rPr>
          <w:rFonts w:eastAsia="Osaka"/>
          <w:color w:val="000000"/>
          <w:sz w:val="16"/>
          <w:szCs w:val="16"/>
        </w:rPr>
        <w:t xml:space="preserve"> received a </w:t>
      </w:r>
      <w:r w:rsidRPr="00636FB7">
        <w:rPr>
          <w:rFonts w:eastAsia="Osaka" w:hint="eastAsia"/>
          <w:color w:val="000000"/>
          <w:sz w:val="16"/>
          <w:szCs w:val="16"/>
        </w:rPr>
        <w:t xml:space="preserve">PhD from </w:t>
      </w:r>
      <w:r w:rsidRPr="00636FB7">
        <w:rPr>
          <w:rFonts w:eastAsia="Osaka"/>
          <w:color w:val="000000"/>
          <w:sz w:val="16"/>
          <w:szCs w:val="16"/>
        </w:rPr>
        <w:t>the</w:t>
      </w:r>
      <w:r w:rsidRPr="00636FB7">
        <w:rPr>
          <w:rFonts w:eastAsia="Osaka" w:hint="eastAsia"/>
          <w:color w:val="000000"/>
          <w:sz w:val="16"/>
          <w:szCs w:val="16"/>
        </w:rPr>
        <w:t xml:space="preserve"> University</w:t>
      </w:r>
      <w:r w:rsidRPr="00636FB7">
        <w:rPr>
          <w:rFonts w:eastAsia="Osaka"/>
          <w:color w:val="000000"/>
          <w:sz w:val="16"/>
          <w:szCs w:val="16"/>
        </w:rPr>
        <w:t xml:space="preserve"> of Tokyo</w:t>
      </w:r>
      <w:r w:rsidRPr="00636FB7">
        <w:rPr>
          <w:rFonts w:eastAsia="Osaka" w:hint="eastAsia"/>
          <w:color w:val="000000"/>
          <w:sz w:val="16"/>
          <w:szCs w:val="16"/>
        </w:rPr>
        <w:t xml:space="preserve"> in 1987</w:t>
      </w:r>
      <w:r w:rsidRPr="00636FB7">
        <w:rPr>
          <w:rFonts w:eastAsia="Osaka"/>
          <w:color w:val="000000"/>
          <w:sz w:val="16"/>
          <w:szCs w:val="16"/>
        </w:rPr>
        <w:t xml:space="preserve">. </w:t>
      </w:r>
      <w:r w:rsidRPr="00636FB7">
        <w:rPr>
          <w:rFonts w:ascii="Century" w:eastAsia="ＭＳ 明朝" w:hAnsi="Century"/>
          <w:sz w:val="16"/>
          <w:szCs w:val="16"/>
        </w:rPr>
        <w:t>Positions held overseas include a period as a</w:t>
      </w:r>
      <w:r w:rsidRPr="00636FB7">
        <w:rPr>
          <w:rFonts w:ascii="Century" w:eastAsia="ＭＳ 明朝" w:hAnsi="Century" w:hint="eastAsia"/>
          <w:sz w:val="16"/>
          <w:szCs w:val="16"/>
        </w:rPr>
        <w:t xml:space="preserve"> </w:t>
      </w:r>
      <w:r w:rsidRPr="00636FB7">
        <w:rPr>
          <w:rFonts w:ascii="Century" w:eastAsia="ＭＳ 明朝" w:hAnsi="Century"/>
          <w:sz w:val="16"/>
          <w:szCs w:val="16"/>
        </w:rPr>
        <w:t>Postdoctoral Fellow in the Physiology Department at Duke University Medical Centre</w:t>
      </w:r>
      <w:r w:rsidRPr="00636FB7">
        <w:rPr>
          <w:rFonts w:ascii="Century" w:eastAsia="ＭＳ 明朝" w:hAnsi="Century" w:hint="eastAsia"/>
          <w:sz w:val="16"/>
          <w:szCs w:val="16"/>
        </w:rPr>
        <w:t xml:space="preserve"> </w:t>
      </w:r>
      <w:r w:rsidRPr="00636FB7">
        <w:rPr>
          <w:rFonts w:ascii="Century" w:eastAsia="ＭＳ 明朝" w:hAnsi="Century"/>
          <w:sz w:val="16"/>
          <w:szCs w:val="16"/>
        </w:rPr>
        <w:t>from 1987 to 1988, and an Associate Professorship in the Department of Mathematics</w:t>
      </w:r>
      <w:r w:rsidRPr="00636FB7">
        <w:rPr>
          <w:rFonts w:ascii="Century" w:eastAsia="ＭＳ 明朝" w:hAnsi="Century" w:hint="eastAsia"/>
          <w:sz w:val="16"/>
          <w:szCs w:val="16"/>
        </w:rPr>
        <w:t xml:space="preserve"> </w:t>
      </w:r>
      <w:r w:rsidRPr="00636FB7">
        <w:rPr>
          <w:rFonts w:ascii="Century" w:eastAsia="ＭＳ 明朝" w:hAnsi="Century"/>
          <w:sz w:val="16"/>
          <w:szCs w:val="16"/>
        </w:rPr>
        <w:t xml:space="preserve">of the University of California at Davis from 1990 to 1991. He is the author of </w:t>
      </w:r>
      <w:r w:rsidRPr="00636FB7">
        <w:rPr>
          <w:rFonts w:ascii="Century" w:eastAsia="ＭＳ 明朝" w:hAnsi="Century"/>
          <w:i/>
          <w:sz w:val="16"/>
          <w:szCs w:val="16"/>
        </w:rPr>
        <w:t>The Dynamics of Cellular Motility</w:t>
      </w:r>
      <w:r w:rsidRPr="00636FB7">
        <w:rPr>
          <w:rFonts w:ascii="Century" w:eastAsia="ＭＳ 明朝" w:hAnsi="Century"/>
          <w:sz w:val="16"/>
          <w:szCs w:val="16"/>
        </w:rPr>
        <w:t xml:space="preserve"> (Wiley, 1992), and is the author of </w:t>
      </w:r>
      <w:r w:rsidRPr="00636FB7">
        <w:rPr>
          <w:rFonts w:ascii="Century" w:eastAsia="ＭＳ 明朝" w:hAnsi="Century"/>
          <w:i/>
          <w:sz w:val="16"/>
          <w:szCs w:val="16"/>
        </w:rPr>
        <w:t>Life as History</w:t>
      </w:r>
      <w:r>
        <w:rPr>
          <w:rFonts w:ascii="Century" w:eastAsia="ＭＳ 明朝" w:hAnsi="Century"/>
          <w:i/>
          <w:sz w:val="16"/>
          <w:szCs w:val="16"/>
        </w:rPr>
        <w:t>: Construction of Self-</w:t>
      </w:r>
      <w:proofErr w:type="spellStart"/>
      <w:r>
        <w:rPr>
          <w:rFonts w:ascii="Century" w:eastAsia="ＭＳ 明朝" w:hAnsi="Century"/>
          <w:i/>
          <w:sz w:val="16"/>
          <w:szCs w:val="16"/>
        </w:rPr>
        <w:t>N</w:t>
      </w:r>
      <w:r w:rsidRPr="00636FB7">
        <w:rPr>
          <w:rFonts w:ascii="Century" w:eastAsia="ＭＳ 明朝" w:hAnsi="Century"/>
          <w:i/>
          <w:sz w:val="16"/>
          <w:szCs w:val="16"/>
        </w:rPr>
        <w:t>onself</w:t>
      </w:r>
      <w:proofErr w:type="spellEnd"/>
      <w:r w:rsidRPr="00636FB7">
        <w:rPr>
          <w:rFonts w:ascii="Century" w:eastAsia="ＭＳ 明朝" w:hAnsi="Century"/>
          <w:i/>
          <w:sz w:val="16"/>
          <w:szCs w:val="16"/>
        </w:rPr>
        <w:t xml:space="preserve"> Circulation Theory</w:t>
      </w:r>
      <w:r w:rsidRPr="00636FB7">
        <w:rPr>
          <w:rFonts w:ascii="Century" w:eastAsia="ＭＳ 明朝" w:hAnsi="Century"/>
          <w:sz w:val="16"/>
          <w:szCs w:val="16"/>
        </w:rPr>
        <w:t xml:space="preserve"> (Kyoto University Press, 2000). </w:t>
      </w:r>
    </w:p>
    <w:p w:rsidR="00AE3E37" w:rsidRDefault="00636FB7">
      <w:pPr>
        <w:spacing w:before="62"/>
        <w:ind w:left="4217" w:right="4235"/>
        <w:jc w:val="center"/>
        <w:rPr>
          <w:rFonts w:ascii="Arial"/>
          <w:sz w:val="14"/>
        </w:rPr>
      </w:pPr>
      <w:r w:rsidRPr="00636FB7">
        <w:rPr>
          <w:rFonts w:ascii="Arial"/>
          <w:sz w:val="14"/>
        </w:rPr>
        <w:t>murase@yukawa.kyoto-u.ac.jp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6401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636FB7" w:rsidRDefault="00636FB7">
      <w:pPr>
        <w:rPr>
          <w:rFonts w:ascii="Minion Pro" w:eastAsiaTheme="minorEastAsia" w:hint="eastAsia"/>
          <w:sz w:val="16"/>
          <w:szCs w:val="16"/>
          <w:lang w:eastAsia="ja-JP"/>
        </w:rPr>
        <w:sectPr w:rsidR="00AE3E37" w:rsidRPr="00636FB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36FB7">
        <w:rPr>
          <w:rFonts w:ascii="Minion Pro" w:eastAsiaTheme="minorEastAsia" w:hint="eastAsia"/>
          <w:sz w:val="16"/>
          <w:szCs w:val="16"/>
          <w:lang w:eastAsia="ja-JP"/>
        </w:rPr>
        <w:t xml:space="preserve">Organizer of the </w:t>
      </w:r>
      <w:r>
        <w:rPr>
          <w:rFonts w:ascii="Minion Pro" w:eastAsiaTheme="minorEastAsia"/>
          <w:sz w:val="16"/>
          <w:szCs w:val="16"/>
          <w:lang w:eastAsia="ja-JP"/>
        </w:rPr>
        <w:t>Symposium on Advanced Future</w:t>
      </w:r>
      <w:r w:rsidRPr="00636FB7">
        <w:rPr>
          <w:rFonts w:ascii="Minion Pro" w:eastAsiaTheme="minorEastAsia"/>
          <w:sz w:val="16"/>
          <w:szCs w:val="16"/>
          <w:lang w:eastAsia="ja-JP"/>
        </w:rPr>
        <w:t xml:space="preserve"> </w:t>
      </w:r>
      <w:r>
        <w:rPr>
          <w:rFonts w:ascii="Minion Pro" w:eastAsiaTheme="minorEastAsia"/>
          <w:sz w:val="16"/>
          <w:szCs w:val="16"/>
          <w:lang w:eastAsia="ja-JP"/>
        </w:rPr>
        <w:t>Studies</w:t>
      </w:r>
    </w:p>
    <w:p w:rsidR="00AE3E37" w:rsidRPr="00636FB7" w:rsidRDefault="00AE3E37">
      <w:pPr>
        <w:pStyle w:val="a3"/>
        <w:spacing w:before="3"/>
        <w:rPr>
          <w:rFonts w:ascii="Minion Pro" w:eastAsiaTheme="minorEastAsia" w:hint="eastAsia"/>
          <w:sz w:val="26"/>
          <w:lang w:eastAsia="ja-JP"/>
        </w:rPr>
      </w:pPr>
    </w:p>
    <w:sectPr w:rsidR="00AE3E37" w:rsidRPr="00636FB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CBA" w:rsidRDefault="00ED7CBA">
      <w:r>
        <w:separator/>
      </w:r>
    </w:p>
  </w:endnote>
  <w:endnote w:type="continuationSeparator" w:id="0">
    <w:p w:rsidR="00ED7CBA" w:rsidRDefault="00ED7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saka">
    <w:altName w:val="ＭＳ ゴシック"/>
    <w:charset w:val="4E"/>
    <w:family w:val="auto"/>
    <w:pitch w:val="variable"/>
    <w:sig w:usb0="00000000" w:usb1="08070000" w:usb2="00000010" w:usb3="00000000" w:csb0="000200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CBA" w:rsidRDefault="00ED7CBA">
      <w:r>
        <w:separator/>
      </w:r>
    </w:p>
  </w:footnote>
  <w:footnote w:type="continuationSeparator" w:id="0">
    <w:p w:rsidR="00ED7CBA" w:rsidRDefault="00ED7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4492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B3C6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36FB7"/>
    <w:rsid w:val="00865E98"/>
    <w:rsid w:val="00873DF0"/>
    <w:rsid w:val="008756E6"/>
    <w:rsid w:val="00883E1F"/>
    <w:rsid w:val="008A08B6"/>
    <w:rsid w:val="009B2D44"/>
    <w:rsid w:val="00A07E82"/>
    <w:rsid w:val="00A9710C"/>
    <w:rsid w:val="00AE3E37"/>
    <w:rsid w:val="00B155CD"/>
    <w:rsid w:val="00B21A57"/>
    <w:rsid w:val="00B859FF"/>
    <w:rsid w:val="00BA37FB"/>
    <w:rsid w:val="00C33602"/>
    <w:rsid w:val="00CC6F9C"/>
    <w:rsid w:val="00CD6F55"/>
    <w:rsid w:val="00DE3104"/>
    <w:rsid w:val="00E26B10"/>
    <w:rsid w:val="00EC2460"/>
    <w:rsid w:val="00ED7CBA"/>
    <w:rsid w:val="00F6750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63F9A73-0E32-4DA4-9F5D-86BE4741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murase</cp:lastModifiedBy>
  <cp:revision>7</cp:revision>
  <dcterms:created xsi:type="dcterms:W3CDTF">2016-12-06T11:19:00Z</dcterms:created>
  <dcterms:modified xsi:type="dcterms:W3CDTF">2018-03-23T13:20:00Z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