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D1648" w:rsidP="00494130">
      <w:pPr>
        <w:pStyle w:val="Heading1"/>
        <w:spacing w:before="170"/>
        <w:ind w:left="0"/>
      </w:pPr>
      <w:r>
        <w:rPr>
          <w:color w:val="337AB7"/>
        </w:rPr>
        <w:t>Broadband Night Vision by Chalcogenide Glass Circuits</w:t>
      </w:r>
    </w:p>
    <w:p w:rsidR="00E058DD" w:rsidRDefault="00E058DD" w:rsidP="005973B9">
      <w:pPr>
        <w:pStyle w:val="BodyText"/>
        <w:spacing w:before="73" w:line="198" w:lineRule="exact"/>
        <w:ind w:left="100" w:right="5987"/>
        <w:rPr>
          <w:rFonts w:ascii="Arial"/>
        </w:rPr>
      </w:pPr>
      <w:r>
        <w:rPr>
          <w:rFonts w:ascii="Arial"/>
        </w:rPr>
        <w:t>P.Yupapin, PhD, Ton Duc Thang University, Vietnam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05190A">
      <w:pPr>
        <w:pStyle w:val="Heading3"/>
        <w:spacing w:before="147"/>
        <w:ind w:left="0"/>
        <w:jc w:val="both"/>
      </w:pPr>
      <w:r>
        <w:rPr>
          <w:color w:val="BF5A14"/>
        </w:rPr>
        <w:lastRenderedPageBreak/>
        <w:t>Abstract</w:t>
      </w:r>
      <w:r w:rsidR="00404E5B">
        <w:rPr>
          <w:color w:val="BF5A14"/>
        </w:rPr>
        <w:t xml:space="preserve"> (300 word limit)</w:t>
      </w:r>
    </w:p>
    <w:p w:rsidR="000039E3" w:rsidRPr="00CA0168" w:rsidRDefault="000039E3" w:rsidP="00CA0168">
      <w:pPr>
        <w:pStyle w:val="NoSpacing1"/>
        <w:jc w:val="both"/>
        <w:rPr>
          <w:sz w:val="18"/>
          <w:szCs w:val="18"/>
        </w:rPr>
      </w:pPr>
      <w:r w:rsidRPr="000039E3">
        <w:t xml:space="preserve">We have proposed an artificial eye model using the chalcogenide glass microring conjugate mirror(MCM). Th model uses a modified add-drop filter, where the object and reference light beams interfere and the image is constructed within the centre ring, such a construction is referred to as MCM. The 3D image construction and perception of eyes are manipulated by using the Optiwave and MATLAB programs. The simulation have shown that the 3D image is constructed at the center ring, which can be confirmed by the output of the MCM, where the four-wave mixing(FWM) output of the MCM port is obtained. The 3D image display can be generated by the display MCM. In application, the large area MCM can be constructed which is indicator of the potential for the artificial eye application. Moreover, the perception spectrum is wider than the visible light, which spans over ~0.85-2.6 µm. It is desireable for 3D wideband night vision applications.  </w:t>
      </w:r>
    </w:p>
    <w:p w:rsidR="00AE3E37" w:rsidRPr="00CA0168" w:rsidRDefault="00A9710C" w:rsidP="00CA0168">
      <w:pPr>
        <w:pStyle w:val="NoSpacing1"/>
        <w:jc w:val="both"/>
        <w:rPr>
          <w:sz w:val="18"/>
          <w:szCs w:val="18"/>
        </w:rPr>
      </w:pPr>
      <w:r w:rsidRPr="00CA0168">
        <w:rPr>
          <w:sz w:val="18"/>
          <w:szCs w:val="18"/>
        </w:rPr>
        <w:br w:type="column"/>
      </w:r>
      <w:r w:rsidRPr="00CA0168">
        <w:rPr>
          <w:color w:val="BF5A14"/>
          <w:sz w:val="18"/>
          <w:szCs w:val="18"/>
        </w:rPr>
        <w:lastRenderedPageBreak/>
        <w:t>Image</w:t>
      </w:r>
    </w:p>
    <w:p w:rsidR="00803DF1" w:rsidRPr="00CA0168" w:rsidRDefault="00803DF1" w:rsidP="00CA0168">
      <w:pPr>
        <w:pStyle w:val="NoSpacing1"/>
        <w:jc w:val="both"/>
        <w:rPr>
          <w:rFonts w:ascii="Arial"/>
          <w:b/>
          <w:sz w:val="18"/>
          <w:szCs w:val="18"/>
        </w:rPr>
      </w:pPr>
      <w:r w:rsidRPr="00CA0168">
        <w:rPr>
          <w:noProof/>
          <w:sz w:val="18"/>
          <w:szCs w:val="18"/>
        </w:rPr>
        <w:drawing>
          <wp:inline distT="0" distB="0" distL="0" distR="0" wp14:anchorId="1576EB9D" wp14:editId="0E399BE9">
            <wp:extent cx="3341077" cy="12961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49237" cy="1299345"/>
                    </a:xfrm>
                    <a:prstGeom prst="rect">
                      <a:avLst/>
                    </a:prstGeom>
                  </pic:spPr>
                </pic:pic>
              </a:graphicData>
            </a:graphic>
          </wp:inline>
        </w:drawing>
      </w:r>
    </w:p>
    <w:p w:rsidR="00803DF1" w:rsidRPr="00CA0168" w:rsidRDefault="00803DF1" w:rsidP="00CA0168">
      <w:pPr>
        <w:pStyle w:val="NoSpacing1"/>
        <w:jc w:val="both"/>
        <w:rPr>
          <w:rFonts w:ascii="Arial"/>
          <w:b/>
          <w:sz w:val="18"/>
          <w:szCs w:val="18"/>
        </w:rPr>
      </w:pPr>
    </w:p>
    <w:p w:rsidR="00803DF1" w:rsidRPr="000D0F87" w:rsidRDefault="00803DF1" w:rsidP="00CA0168">
      <w:pPr>
        <w:pStyle w:val="NoSpacing1"/>
        <w:jc w:val="both"/>
        <w:rPr>
          <w:rFonts w:eastAsia="Times New Roman"/>
          <w:sz w:val="16"/>
          <w:szCs w:val="16"/>
        </w:rPr>
      </w:pPr>
      <w:r w:rsidRPr="000D0F87">
        <w:rPr>
          <w:rFonts w:eastAsia="Times New Roman"/>
          <w:b/>
          <w:sz w:val="16"/>
          <w:szCs w:val="16"/>
        </w:rPr>
        <w:t>Figure 1:</w:t>
      </w:r>
      <w:r w:rsidRPr="000D0F87">
        <w:rPr>
          <w:rFonts w:ascii="AdvPTimes" w:hAnsi="AdvPTimes"/>
          <w:sz w:val="16"/>
          <w:szCs w:val="16"/>
        </w:rPr>
        <w:t xml:space="preserve"> </w:t>
      </w:r>
      <w:r w:rsidRPr="000D0F87">
        <w:rPr>
          <w:sz w:val="16"/>
          <w:szCs w:val="16"/>
        </w:rPr>
        <w:t xml:space="preserve">A schematic of the microring conjugate mirror, where </w:t>
      </w:r>
      <m:oMath>
        <m:sSub>
          <m:sSubPr>
            <m:ctrlPr>
              <w:rPr>
                <w:rFonts w:ascii="Cambria Math" w:hAnsi="Cambria Math"/>
                <w:i/>
                <w:sz w:val="16"/>
                <w:szCs w:val="16"/>
              </w:rPr>
            </m:ctrlPr>
          </m:sSubPr>
          <m:e>
            <m:r>
              <m:rPr>
                <m:sty m:val="bi"/>
              </m:rPr>
              <w:rPr>
                <w:rFonts w:ascii="Cambria Math" w:hAnsi="Cambria Math"/>
                <w:sz w:val="16"/>
                <w:szCs w:val="16"/>
              </w:rPr>
              <m:t>E</m:t>
            </m:r>
          </m:e>
          <m:sub>
            <m:r>
              <m:rPr>
                <m:sty m:val="bi"/>
              </m:rPr>
              <w:rPr>
                <w:rFonts w:ascii="Cambria Math" w:hAnsi="Cambria Math"/>
                <w:sz w:val="16"/>
                <w:szCs w:val="16"/>
              </w:rPr>
              <m:t>in</m:t>
            </m:r>
          </m:sub>
        </m:sSub>
      </m:oMath>
      <w:r w:rsidRPr="000D0F87">
        <w:rPr>
          <w:sz w:val="16"/>
          <w:szCs w:val="16"/>
        </w:rPr>
        <w:t xml:space="preserve">, </w:t>
      </w:r>
      <m:oMath>
        <m:sSub>
          <m:sSubPr>
            <m:ctrlPr>
              <w:rPr>
                <w:rFonts w:ascii="Cambria Math" w:hAnsi="Cambria Math"/>
                <w:i/>
                <w:sz w:val="16"/>
                <w:szCs w:val="16"/>
              </w:rPr>
            </m:ctrlPr>
          </m:sSubPr>
          <m:e>
            <m:r>
              <m:rPr>
                <m:sty m:val="bi"/>
              </m:rPr>
              <w:rPr>
                <w:rFonts w:ascii="Cambria Math" w:hAnsi="Cambria Math"/>
                <w:sz w:val="16"/>
                <w:szCs w:val="16"/>
              </w:rPr>
              <m:t>E</m:t>
            </m:r>
          </m:e>
          <m:sub>
            <m:r>
              <m:rPr>
                <m:sty m:val="bi"/>
              </m:rPr>
              <w:rPr>
                <w:rFonts w:ascii="Cambria Math" w:hAnsi="Cambria Math"/>
                <w:sz w:val="16"/>
                <w:szCs w:val="16"/>
              </w:rPr>
              <m:t>thr</m:t>
            </m:r>
          </m:sub>
        </m:sSub>
      </m:oMath>
      <w:r w:rsidRPr="000D0F87">
        <w:rPr>
          <w:sz w:val="16"/>
          <w:szCs w:val="16"/>
        </w:rPr>
        <w:t xml:space="preserve">, </w:t>
      </w:r>
      <m:oMath>
        <m:sSub>
          <m:sSubPr>
            <m:ctrlPr>
              <w:rPr>
                <w:rFonts w:ascii="Cambria Math" w:hAnsi="Cambria Math"/>
                <w:i/>
                <w:sz w:val="16"/>
                <w:szCs w:val="16"/>
              </w:rPr>
            </m:ctrlPr>
          </m:sSubPr>
          <m:e>
            <m:r>
              <m:rPr>
                <m:sty m:val="bi"/>
              </m:rPr>
              <w:rPr>
                <w:rFonts w:ascii="Cambria Math" w:hAnsi="Cambria Math"/>
                <w:sz w:val="16"/>
                <w:szCs w:val="16"/>
              </w:rPr>
              <m:t>E</m:t>
            </m:r>
          </m:e>
          <m:sub>
            <m:r>
              <m:rPr>
                <m:sty m:val="bi"/>
              </m:rPr>
              <w:rPr>
                <w:rFonts w:ascii="Cambria Math" w:hAnsi="Cambria Math"/>
                <w:sz w:val="16"/>
                <w:szCs w:val="16"/>
              </w:rPr>
              <m:t>drp</m:t>
            </m:r>
          </m:sub>
        </m:sSub>
      </m:oMath>
      <w:r w:rsidRPr="000D0F87">
        <w:rPr>
          <w:sz w:val="16"/>
          <w:szCs w:val="16"/>
        </w:rPr>
        <w:t xml:space="preserve">, and </w:t>
      </w:r>
      <m:oMath>
        <m:sSub>
          <m:sSubPr>
            <m:ctrlPr>
              <w:rPr>
                <w:rFonts w:ascii="Cambria Math" w:hAnsi="Cambria Math"/>
                <w:i/>
                <w:sz w:val="16"/>
                <w:szCs w:val="16"/>
              </w:rPr>
            </m:ctrlPr>
          </m:sSubPr>
          <m:e>
            <m:r>
              <m:rPr>
                <m:sty m:val="bi"/>
              </m:rPr>
              <w:rPr>
                <w:rFonts w:ascii="Cambria Math" w:hAnsi="Cambria Math"/>
                <w:sz w:val="16"/>
                <w:szCs w:val="16"/>
              </w:rPr>
              <m:t>E</m:t>
            </m:r>
          </m:e>
          <m:sub>
            <m:r>
              <m:rPr>
                <m:sty m:val="bi"/>
              </m:rPr>
              <w:rPr>
                <w:rFonts w:ascii="Cambria Math" w:hAnsi="Cambria Math"/>
                <w:sz w:val="16"/>
                <w:szCs w:val="16"/>
              </w:rPr>
              <m:t>add</m:t>
            </m:r>
          </m:sub>
        </m:sSub>
      </m:oMath>
      <w:r w:rsidRPr="000D0F87">
        <w:rPr>
          <w:sz w:val="16"/>
          <w:szCs w:val="16"/>
        </w:rPr>
        <w:t xml:space="preserve"> are the optical field of the input, throughput, drop, and add port, respectively. </w:t>
      </w: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L</m:t>
            </m:r>
          </m:sub>
        </m:sSub>
      </m:oMath>
      <w:r w:rsidRPr="000D0F87">
        <w:rPr>
          <w:sz w:val="16"/>
          <w:szCs w:val="16"/>
        </w:rPr>
        <w:t xml:space="preserve">: Left-hand ring radius, </w:t>
      </w: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R</m:t>
            </m:r>
          </m:sub>
        </m:sSub>
      </m:oMath>
      <w:r w:rsidRPr="000D0F87">
        <w:rPr>
          <w:sz w:val="16"/>
          <w:szCs w:val="16"/>
        </w:rPr>
        <w:t xml:space="preserve">: Right-hand ring radius, </w:t>
      </w: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D</m:t>
            </m:r>
          </m:sub>
        </m:sSub>
      </m:oMath>
      <w:r w:rsidRPr="000D0F87">
        <w:rPr>
          <w:sz w:val="16"/>
          <w:szCs w:val="16"/>
        </w:rPr>
        <w:t xml:space="preserve">: Center ring radius, </w:t>
      </w:r>
      <m:oMath>
        <m:sSub>
          <m:sSubPr>
            <m:ctrlPr>
              <w:rPr>
                <w:rFonts w:ascii="Cambria Math" w:hAnsi="Cambria Math"/>
                <w:i/>
                <w:sz w:val="16"/>
                <w:szCs w:val="16"/>
              </w:rPr>
            </m:ctrlPr>
          </m:sSubPr>
          <m:e>
            <m:r>
              <m:rPr>
                <m:sty m:val="bi"/>
              </m:rPr>
              <w:rPr>
                <w:rFonts w:ascii="Cambria Math" w:hAnsi="Cambria Math"/>
                <w:sz w:val="16"/>
                <w:szCs w:val="16"/>
              </w:rPr>
              <m:t>κ</m:t>
            </m:r>
          </m:e>
          <m:sub>
            <m:r>
              <m:rPr>
                <m:sty m:val="bi"/>
              </m:rPr>
              <w:rPr>
                <w:rFonts w:ascii="Cambria Math" w:hAnsi="Cambria Math"/>
                <w:sz w:val="16"/>
                <w:szCs w:val="16"/>
              </w:rPr>
              <m:t>s</m:t>
            </m:r>
          </m:sub>
        </m:sSub>
      </m:oMath>
      <w:r w:rsidRPr="000D0F87">
        <w:rPr>
          <w:sz w:val="16"/>
          <w:szCs w:val="16"/>
        </w:rPr>
        <w:t xml:space="preserve">: coupling constants, which is 0.5 for all </w:t>
      </w:r>
      <m:oMath>
        <m:sSub>
          <m:sSubPr>
            <m:ctrlPr>
              <w:rPr>
                <w:rFonts w:ascii="Cambria Math" w:hAnsi="Cambria Math"/>
                <w:i/>
                <w:sz w:val="16"/>
                <w:szCs w:val="16"/>
              </w:rPr>
            </m:ctrlPr>
          </m:sSubPr>
          <m:e>
            <m:r>
              <m:rPr>
                <m:sty m:val="bi"/>
              </m:rPr>
              <w:rPr>
                <w:rFonts w:ascii="Cambria Math" w:hAnsi="Cambria Math"/>
                <w:sz w:val="16"/>
                <w:szCs w:val="16"/>
              </w:rPr>
              <m:t>κ</m:t>
            </m:r>
          </m:e>
          <m:sub>
            <m:r>
              <m:rPr>
                <m:sty m:val="bi"/>
              </m:rPr>
              <w:rPr>
                <w:rFonts w:ascii="Cambria Math" w:hAnsi="Cambria Math"/>
                <w:sz w:val="16"/>
                <w:szCs w:val="16"/>
              </w:rPr>
              <m:t>s</m:t>
            </m:r>
          </m:sub>
        </m:sSub>
      </m:oMath>
      <w:r w:rsidRPr="000D0F87">
        <w:rPr>
          <w:sz w:val="16"/>
          <w:szCs w:val="16"/>
        </w:rPr>
        <w:t xml:space="preserve">. The center ring is the ChG material. In this case the </w:t>
      </w:r>
      <w:r w:rsidRPr="000D0F87">
        <w:rPr>
          <w:rFonts w:eastAsia="Times New Roman"/>
          <w:sz w:val="16"/>
          <w:szCs w:val="16"/>
        </w:rPr>
        <w:t>the reflected coefficient is neglected.</w:t>
      </w:r>
    </w:p>
    <w:p w:rsidR="005973B9" w:rsidRPr="00CA0168" w:rsidRDefault="005973B9" w:rsidP="00CA0168">
      <w:pPr>
        <w:pStyle w:val="NoSpacing1"/>
        <w:jc w:val="both"/>
        <w:rPr>
          <w:rFonts w:ascii="Arial"/>
          <w:b/>
          <w:color w:val="BF5A14"/>
          <w:sz w:val="18"/>
          <w:szCs w:val="18"/>
        </w:rPr>
      </w:pPr>
      <w:r w:rsidRPr="00CA0168">
        <w:rPr>
          <w:rFonts w:ascii="Arial"/>
          <w:b/>
          <w:color w:val="BF5A14"/>
          <w:sz w:val="18"/>
          <w:szCs w:val="18"/>
        </w:rPr>
        <w:br/>
        <w:t>Recent Publications (minimum 5)</w:t>
      </w:r>
    </w:p>
    <w:p w:rsidR="00330C39" w:rsidRPr="00CA0168" w:rsidRDefault="00330C39" w:rsidP="00CA0168">
      <w:pPr>
        <w:pStyle w:val="NoSpacing1"/>
        <w:jc w:val="both"/>
        <w:rPr>
          <w:rFonts w:ascii="Arial"/>
          <w:b/>
          <w:sz w:val="18"/>
          <w:szCs w:val="18"/>
        </w:rPr>
      </w:pPr>
    </w:p>
    <w:p w:rsidR="005973B9" w:rsidRPr="00A74C8F" w:rsidRDefault="00CA0168" w:rsidP="00CA0168">
      <w:pPr>
        <w:pStyle w:val="NoSpacing1"/>
        <w:ind w:left="426" w:hanging="426"/>
        <w:jc w:val="both"/>
        <w:rPr>
          <w:rFonts w:ascii="Arial" w:hAnsi="Arial" w:cs="Arial"/>
          <w:sz w:val="18"/>
          <w:szCs w:val="18"/>
        </w:rPr>
      </w:pPr>
      <w:r w:rsidRPr="00A74C8F">
        <w:rPr>
          <w:rFonts w:ascii="Arial" w:hAnsi="Arial" w:cs="Arial"/>
          <w:sz w:val="18"/>
          <w:szCs w:val="18"/>
        </w:rPr>
        <w:t xml:space="preserve">[1] </w:t>
      </w:r>
      <w:r w:rsidR="007C1AA7" w:rsidRPr="00A74C8F">
        <w:rPr>
          <w:rFonts w:ascii="Arial" w:hAnsi="Arial" w:cs="Arial"/>
          <w:sz w:val="18"/>
          <w:szCs w:val="18"/>
        </w:rPr>
        <w:t>P. Yupapin et al,</w:t>
      </w:r>
      <w:r w:rsidRPr="00A74C8F">
        <w:rPr>
          <w:rFonts w:ascii="Arial" w:hAnsi="Arial" w:cs="Arial"/>
          <w:sz w:val="18"/>
          <w:szCs w:val="18"/>
        </w:rPr>
        <w:t xml:space="preserve"> </w:t>
      </w:r>
      <w:r w:rsidRPr="00A74C8F">
        <w:rPr>
          <w:rFonts w:ascii="Arial" w:hAnsi="Arial" w:cs="Arial"/>
          <w:sz w:val="18"/>
          <w:szCs w:val="18"/>
        </w:rPr>
        <w:t>Micro-Current Source Generated by a WGM of Light Within a Stacked Silicon-Graphene-Au Waveguide</w:t>
      </w:r>
      <w:r w:rsidRPr="00A74C8F">
        <w:rPr>
          <w:rFonts w:ascii="Arial" w:hAnsi="Arial" w:cs="Arial"/>
          <w:sz w:val="18"/>
          <w:szCs w:val="18"/>
        </w:rPr>
        <w:t xml:space="preserve">, </w:t>
      </w:r>
      <w:r w:rsidR="002E081D" w:rsidRPr="00A74C8F">
        <w:rPr>
          <w:rFonts w:ascii="Arial" w:hAnsi="Arial" w:cs="Arial"/>
          <w:sz w:val="18"/>
          <w:szCs w:val="18"/>
        </w:rPr>
        <w:t>IEEE Photonics Technology Letters, 2017</w:t>
      </w:r>
    </w:p>
    <w:p w:rsidR="005973B9" w:rsidRPr="00A74C8F" w:rsidRDefault="00CA0168" w:rsidP="00CA0168">
      <w:pPr>
        <w:pStyle w:val="NoSpacing1"/>
        <w:ind w:left="426" w:hanging="426"/>
        <w:jc w:val="both"/>
        <w:rPr>
          <w:rFonts w:ascii="Arial" w:eastAsia="Times New Roman" w:hAnsi="Arial" w:cs="Arial"/>
          <w:sz w:val="18"/>
          <w:szCs w:val="18"/>
        </w:rPr>
      </w:pPr>
      <w:r w:rsidRPr="00A74C8F">
        <w:rPr>
          <w:rFonts w:ascii="Arial" w:hAnsi="Arial" w:cs="Arial"/>
          <w:sz w:val="18"/>
          <w:szCs w:val="18"/>
        </w:rPr>
        <w:t xml:space="preserve">[2] </w:t>
      </w:r>
      <w:r w:rsidR="007C1AA7" w:rsidRPr="00A74C8F">
        <w:rPr>
          <w:rFonts w:ascii="Arial" w:hAnsi="Arial" w:cs="Arial"/>
          <w:sz w:val="18"/>
          <w:szCs w:val="18"/>
        </w:rPr>
        <w:t xml:space="preserve">P. Yupapin et al, </w:t>
      </w:r>
      <w:r w:rsidRPr="00A74C8F">
        <w:rPr>
          <w:rFonts w:ascii="Arial" w:eastAsia="Times New Roman" w:hAnsi="Arial" w:cs="Arial"/>
          <w:sz w:val="18"/>
          <w:szCs w:val="18"/>
          <w:bdr w:val="none" w:sz="0" w:space="0" w:color="auto" w:frame="1"/>
        </w:rPr>
        <w:t>Manual control of optical tweezer switching for particle trapping and i</w:t>
      </w:r>
      <w:r w:rsidRPr="00A74C8F">
        <w:rPr>
          <w:rFonts w:ascii="Arial" w:eastAsia="Times New Roman" w:hAnsi="Arial" w:cs="Arial"/>
          <w:sz w:val="18"/>
          <w:szCs w:val="18"/>
          <w:bdr w:val="none" w:sz="0" w:space="0" w:color="auto" w:frame="1"/>
        </w:rPr>
        <w:t>njection</w:t>
      </w:r>
      <w:r w:rsidRPr="00A74C8F">
        <w:rPr>
          <w:rFonts w:ascii="Arial" w:eastAsia="Times New Roman" w:hAnsi="Arial" w:cs="Arial"/>
          <w:sz w:val="18"/>
          <w:szCs w:val="18"/>
        </w:rPr>
        <w:t xml:space="preserve">, </w:t>
      </w:r>
      <w:r w:rsidR="002E081D" w:rsidRPr="00A74C8F">
        <w:rPr>
          <w:rFonts w:ascii="Arial" w:hAnsi="Arial" w:cs="Arial"/>
          <w:sz w:val="18"/>
          <w:szCs w:val="18"/>
        </w:rPr>
        <w:t>IET-Micro and Nano Letters, 2018</w:t>
      </w:r>
    </w:p>
    <w:p w:rsidR="005973B9" w:rsidRPr="00A74C8F" w:rsidRDefault="00CA0168" w:rsidP="000D0F87">
      <w:pPr>
        <w:pStyle w:val="Title"/>
        <w:framePr w:w="0" w:hSpace="0" w:vSpace="0" w:wrap="auto" w:vAnchor="margin" w:hAnchor="text" w:xAlign="left" w:yAlign="inline"/>
        <w:ind w:left="426" w:hanging="426"/>
        <w:jc w:val="both"/>
        <w:rPr>
          <w:rFonts w:ascii="Arial" w:hAnsi="Arial" w:cs="Arial"/>
          <w:sz w:val="18"/>
          <w:szCs w:val="18"/>
        </w:rPr>
      </w:pPr>
      <w:r w:rsidRPr="00A74C8F">
        <w:rPr>
          <w:rFonts w:ascii="Arial" w:hAnsi="Arial" w:cs="Arial"/>
          <w:sz w:val="18"/>
          <w:szCs w:val="18"/>
        </w:rPr>
        <w:t xml:space="preserve">[3] </w:t>
      </w:r>
      <w:r w:rsidR="007C1AA7" w:rsidRPr="00A74C8F">
        <w:rPr>
          <w:rFonts w:ascii="Arial" w:hAnsi="Arial" w:cs="Arial"/>
          <w:sz w:val="18"/>
          <w:szCs w:val="18"/>
        </w:rPr>
        <w:t xml:space="preserve">P. Yupapin et al, </w:t>
      </w:r>
      <w:r w:rsidRPr="00A74C8F">
        <w:rPr>
          <w:rFonts w:ascii="Arial" w:hAnsi="Arial" w:cs="Arial"/>
          <w:sz w:val="18"/>
          <w:szCs w:val="18"/>
        </w:rPr>
        <w:t>A Microring Conjugate Mirror Design and Simulation for Naked-Eye 3D Imaging Application</w:t>
      </w:r>
      <w:r w:rsidR="000D0F87">
        <w:rPr>
          <w:rFonts w:ascii="Arial" w:hAnsi="Arial" w:cs="Arial"/>
          <w:sz w:val="18"/>
          <w:szCs w:val="18"/>
        </w:rPr>
        <w:t xml:space="preserve">, </w:t>
      </w:r>
      <w:bookmarkStart w:id="0" w:name="_GoBack"/>
      <w:bookmarkEnd w:id="0"/>
      <w:r w:rsidR="002E081D" w:rsidRPr="00A74C8F">
        <w:rPr>
          <w:rFonts w:ascii="Arial" w:hAnsi="Arial" w:cs="Arial"/>
          <w:sz w:val="18"/>
          <w:szCs w:val="18"/>
        </w:rPr>
        <w:t>Microwave and Optical Technology Letters, 2018</w:t>
      </w:r>
    </w:p>
    <w:p w:rsidR="005973B9" w:rsidRPr="00A74C8F" w:rsidRDefault="00CA0168" w:rsidP="00CA0168">
      <w:pPr>
        <w:pStyle w:val="NoSpacing1"/>
        <w:ind w:left="426" w:hanging="426"/>
        <w:jc w:val="both"/>
        <w:rPr>
          <w:rFonts w:ascii="Arial" w:eastAsia="Times New Roman" w:hAnsi="Arial" w:cs="Arial"/>
          <w:sz w:val="18"/>
          <w:szCs w:val="18"/>
        </w:rPr>
      </w:pPr>
      <w:r w:rsidRPr="00A74C8F">
        <w:rPr>
          <w:rFonts w:ascii="Arial" w:hAnsi="Arial" w:cs="Arial"/>
          <w:sz w:val="18"/>
          <w:szCs w:val="18"/>
        </w:rPr>
        <w:t xml:space="preserve">[4] </w:t>
      </w:r>
      <w:r w:rsidR="007C1AA7" w:rsidRPr="00A74C8F">
        <w:rPr>
          <w:rFonts w:ascii="Arial" w:hAnsi="Arial" w:cs="Arial"/>
          <w:sz w:val="18"/>
          <w:szCs w:val="18"/>
        </w:rPr>
        <w:t>P. Yupapin et al.,</w:t>
      </w:r>
      <w:r w:rsidR="002F4453" w:rsidRPr="00A74C8F">
        <w:rPr>
          <w:rFonts w:ascii="Arial" w:eastAsia="Times New Roman" w:hAnsi="Arial" w:cs="Arial"/>
          <w:sz w:val="18"/>
          <w:szCs w:val="18"/>
        </w:rPr>
        <w:t xml:space="preserve"> </w:t>
      </w:r>
      <w:hyperlink r:id="rId11" w:history="1">
        <w:r w:rsidR="001620FF" w:rsidRPr="00A74C8F">
          <w:rPr>
            <w:rFonts w:ascii="Arial" w:eastAsia="Times New Roman" w:hAnsi="Arial" w:cs="Arial"/>
            <w:sz w:val="18"/>
            <w:szCs w:val="18"/>
          </w:rPr>
          <w:t>On-chip remote charger model using plasmonic island c</w:t>
        </w:r>
        <w:r w:rsidR="002F4453" w:rsidRPr="00A74C8F">
          <w:rPr>
            <w:rFonts w:ascii="Arial" w:eastAsia="Times New Roman" w:hAnsi="Arial" w:cs="Arial"/>
            <w:sz w:val="18"/>
            <w:szCs w:val="18"/>
          </w:rPr>
          <w:t>ircuit</w:t>
        </w:r>
      </w:hyperlink>
      <w:r w:rsidR="002F4453" w:rsidRPr="00A74C8F">
        <w:rPr>
          <w:rFonts w:ascii="Arial" w:eastAsia="Times New Roman" w:hAnsi="Arial" w:cs="Arial"/>
          <w:sz w:val="18"/>
          <w:szCs w:val="18"/>
        </w:rPr>
        <w:t xml:space="preserve">, </w:t>
      </w:r>
      <w:r w:rsidR="002E081D" w:rsidRPr="00A74C8F">
        <w:rPr>
          <w:rFonts w:ascii="Arial" w:hAnsi="Arial" w:cs="Arial"/>
          <w:sz w:val="18"/>
          <w:szCs w:val="18"/>
        </w:rPr>
        <w:t>Results in Physics, 2018</w:t>
      </w:r>
      <w:r w:rsidR="001620FF" w:rsidRPr="00A74C8F">
        <w:rPr>
          <w:rFonts w:ascii="Arial" w:hAnsi="Arial" w:cs="Arial"/>
          <w:sz w:val="18"/>
          <w:szCs w:val="18"/>
        </w:rPr>
        <w:t>.</w:t>
      </w:r>
    </w:p>
    <w:p w:rsidR="005973B9" w:rsidRPr="00A74C8F" w:rsidRDefault="00CA0168" w:rsidP="00CA0168">
      <w:pPr>
        <w:pStyle w:val="NoSpacing1"/>
        <w:ind w:left="426" w:hanging="426"/>
        <w:jc w:val="both"/>
        <w:rPr>
          <w:rFonts w:ascii="Arial" w:eastAsia="Times New Roman" w:hAnsi="Arial" w:cs="Arial"/>
          <w:spacing w:val="2"/>
          <w:kern w:val="36"/>
          <w:sz w:val="18"/>
          <w:szCs w:val="18"/>
          <w:lang w:val="en"/>
        </w:rPr>
      </w:pPr>
      <w:r w:rsidRPr="00A74C8F">
        <w:rPr>
          <w:rFonts w:ascii="Arial" w:hAnsi="Arial" w:cs="Arial"/>
          <w:sz w:val="18"/>
          <w:szCs w:val="18"/>
        </w:rPr>
        <w:t>[5]</w:t>
      </w:r>
      <w:r w:rsidR="002E081D" w:rsidRPr="00A74C8F">
        <w:rPr>
          <w:rFonts w:ascii="Arial" w:hAnsi="Arial" w:cs="Arial"/>
          <w:sz w:val="18"/>
          <w:szCs w:val="18"/>
        </w:rPr>
        <w:t xml:space="preserve"> </w:t>
      </w:r>
      <w:r w:rsidR="007C1AA7" w:rsidRPr="00A74C8F">
        <w:rPr>
          <w:rFonts w:ascii="Arial" w:hAnsi="Arial" w:cs="Arial"/>
          <w:sz w:val="18"/>
          <w:szCs w:val="18"/>
        </w:rPr>
        <w:t xml:space="preserve">P. Yupapin et al, </w:t>
      </w:r>
      <w:r w:rsidR="001620FF" w:rsidRPr="00A74C8F">
        <w:rPr>
          <w:rFonts w:ascii="Arial" w:eastAsia="Times New Roman" w:hAnsi="Arial" w:cs="Arial"/>
          <w:spacing w:val="2"/>
          <w:kern w:val="36"/>
          <w:sz w:val="18"/>
          <w:szCs w:val="18"/>
          <w:lang w:val="en"/>
        </w:rPr>
        <w:t>Plasmonic op-amp circuit model using the inline successive microring pumping technique</w:t>
      </w:r>
      <w:r w:rsidR="001620FF" w:rsidRPr="00A74C8F">
        <w:rPr>
          <w:rFonts w:ascii="Arial" w:eastAsia="Times New Roman" w:hAnsi="Arial" w:cs="Arial"/>
          <w:spacing w:val="2"/>
          <w:kern w:val="36"/>
          <w:sz w:val="18"/>
          <w:szCs w:val="18"/>
          <w:lang w:val="en"/>
        </w:rPr>
        <w:t xml:space="preserve">, </w:t>
      </w:r>
      <w:r w:rsidR="002E081D" w:rsidRPr="00A74C8F">
        <w:rPr>
          <w:rFonts w:ascii="Arial" w:hAnsi="Arial" w:cs="Arial"/>
          <w:sz w:val="18"/>
          <w:szCs w:val="18"/>
        </w:rPr>
        <w:t>Microsystem</w:t>
      </w:r>
      <w:r w:rsidR="001620FF" w:rsidRPr="00A74C8F">
        <w:rPr>
          <w:rFonts w:ascii="Arial" w:hAnsi="Arial" w:cs="Arial"/>
          <w:sz w:val="18"/>
          <w:szCs w:val="18"/>
        </w:rPr>
        <w:t xml:space="preserve"> T</w:t>
      </w:r>
      <w:r w:rsidR="002E081D" w:rsidRPr="00A74C8F">
        <w:rPr>
          <w:rFonts w:ascii="Arial" w:hAnsi="Arial" w:cs="Arial"/>
          <w:sz w:val="18"/>
          <w:szCs w:val="18"/>
        </w:rPr>
        <w:t>echnologies, 2018</w:t>
      </w:r>
      <w:r w:rsidR="001620FF" w:rsidRPr="00A74C8F">
        <w:rPr>
          <w:rFonts w:ascii="Arial" w:hAnsi="Arial" w:cs="Arial"/>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F4A78" w:rsidRDefault="008756E6" w:rsidP="00404E5B">
      <w:pPr>
        <w:spacing w:before="92"/>
        <w:ind w:right="4234"/>
        <w:rPr>
          <w:noProof/>
        </w:rPr>
      </w:pPr>
      <w:r>
        <w:rPr>
          <w:noProof/>
        </w:rPr>
        <w:t xml:space="preserve">              </w:t>
      </w:r>
      <w:r w:rsidR="005F4A78">
        <w:rPr>
          <w:rFonts w:ascii="Arial"/>
          <w:noProof/>
          <w:color w:val="BF5A14"/>
        </w:rPr>
        <w:drawing>
          <wp:inline distT="0" distB="0" distL="0" distR="0">
            <wp:extent cx="439615" cy="586153"/>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841753_1915055475409908_4183650257554637344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2592" cy="590123"/>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2F7817" w:rsidRPr="002F7817" w:rsidRDefault="002F7817" w:rsidP="002F7817">
      <w:pPr>
        <w:pStyle w:val="NoSpacing1"/>
        <w:jc w:val="both"/>
        <w:rPr>
          <w:rFonts w:ascii="Arial" w:eastAsia="Times New Roman" w:hAnsi="Arial" w:cs="Arial"/>
          <w:color w:val="000000"/>
          <w:sz w:val="14"/>
          <w:szCs w:val="14"/>
          <w:lang w:bidi="ar-SA"/>
        </w:rPr>
      </w:pPr>
      <w:r w:rsidRPr="002F7817">
        <w:rPr>
          <w:rFonts w:ascii="Arial" w:eastAsia="Times New Roman" w:hAnsi="Arial" w:cs="Arial"/>
          <w:b/>
          <w:bCs/>
          <w:color w:val="000000"/>
          <w:sz w:val="14"/>
          <w:szCs w:val="14"/>
          <w:lang w:bidi="ar-SA"/>
        </w:rPr>
        <w:t>Preecha  Yupapin</w:t>
      </w:r>
      <w:r w:rsidRPr="002F7817">
        <w:rPr>
          <w:rFonts w:ascii="Arial" w:eastAsia="Times New Roman" w:hAnsi="Arial" w:cs="Arial"/>
          <w:color w:val="000000"/>
          <w:sz w:val="14"/>
          <w:szCs w:val="14"/>
          <w:lang w:bidi="ar-SA"/>
        </w:rPr>
        <w:t xml:space="preserve"> received the Ph.D. degree in electrical engineering from the City, University of London,UK in 1993. He is currently the Professor and a Principal Research Scientist in the Computational Optics Research Group (CORG), Advanced Institute of Material Science (AIMaS) and Faculty of Electrical &amp; Electronics Engineering, Ton Duc Thang University, Ho Chi Minh City, Vietnam. Prof. Yupapin is a member of Thai Institute Physics (TIP), South East Asia Theoretical Physics Association (SEATPA) committee, South East Asian Collaboration for Ocean Renewable Energy (SEAcORE) committee and Optical Society of America (OSA). He has 300 ISI published papers, H-index-27. His current researches of interest are transparent electronic devices and circuits, microring resonator, naked-eye 3D imaging, soliton, optical motor, quantum and spintronic devices, drug delivery and therapy.</w:t>
      </w:r>
    </w:p>
    <w:p w:rsidR="002F7817" w:rsidRPr="002F7817" w:rsidRDefault="002F7817">
      <w:pPr>
        <w:spacing w:before="41" w:line="154" w:lineRule="exact"/>
        <w:ind w:left="213" w:right="231"/>
        <w:jc w:val="both"/>
        <w:rPr>
          <w:rFonts w:ascii="Arial" w:hAnsi="Arial" w:cs="Arial"/>
          <w:sz w:val="14"/>
          <w:szCs w:val="14"/>
        </w:rPr>
      </w:pPr>
    </w:p>
    <w:p w:rsidR="00AE3E37" w:rsidRDefault="00A9710C">
      <w:pPr>
        <w:spacing w:before="62"/>
        <w:ind w:left="4217" w:right="4235"/>
        <w:jc w:val="center"/>
        <w:rPr>
          <w:rFonts w:ascii="Arial"/>
          <w:sz w:val="14"/>
        </w:rPr>
      </w:pPr>
      <w:r>
        <w:rPr>
          <w:rFonts w:ascii="Arial"/>
          <w:sz w:val="14"/>
        </w:rPr>
        <w:t xml:space="preserve">Email: </w:t>
      </w:r>
      <w:r w:rsidR="00866938" w:rsidRPr="00866938">
        <w:rPr>
          <w:rFonts w:ascii="Arial"/>
          <w:sz w:val="14"/>
        </w:rPr>
        <w:t>preecha.yupapin</w:t>
      </w:r>
      <w:r w:rsidR="00866938">
        <w:rPr>
          <w:rFonts w:ascii="Arial"/>
          <w:sz w:val="14"/>
        </w:rPr>
        <w:t>@tdt.edu.vn</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78C" w:rsidRDefault="003E078C">
      <w:r>
        <w:separator/>
      </w:r>
    </w:p>
  </w:endnote>
  <w:endnote w:type="continuationSeparator" w:id="0">
    <w:p w:rsidR="003E078C" w:rsidRDefault="003E0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Times">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78C" w:rsidRDefault="003E078C">
      <w:r>
        <w:separator/>
      </w:r>
    </w:p>
  </w:footnote>
  <w:footnote w:type="continuationSeparator" w:id="0">
    <w:p w:rsidR="003E078C" w:rsidRDefault="003E07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E3"/>
    <w:rsid w:val="0005190A"/>
    <w:rsid w:val="000A6C10"/>
    <w:rsid w:val="000D0F87"/>
    <w:rsid w:val="000D1648"/>
    <w:rsid w:val="000E2911"/>
    <w:rsid w:val="001263DF"/>
    <w:rsid w:val="001620FF"/>
    <w:rsid w:val="002455EC"/>
    <w:rsid w:val="00292ED9"/>
    <w:rsid w:val="002B7320"/>
    <w:rsid w:val="002E081D"/>
    <w:rsid w:val="002F4453"/>
    <w:rsid w:val="002F7817"/>
    <w:rsid w:val="00330C39"/>
    <w:rsid w:val="003E078C"/>
    <w:rsid w:val="00404E5B"/>
    <w:rsid w:val="00414F7B"/>
    <w:rsid w:val="004355DC"/>
    <w:rsid w:val="004749B4"/>
    <w:rsid w:val="00494130"/>
    <w:rsid w:val="004F3523"/>
    <w:rsid w:val="005973B9"/>
    <w:rsid w:val="005B3A56"/>
    <w:rsid w:val="005F4A78"/>
    <w:rsid w:val="006060CE"/>
    <w:rsid w:val="0063497F"/>
    <w:rsid w:val="007C1AA7"/>
    <w:rsid w:val="00803DF1"/>
    <w:rsid w:val="00866938"/>
    <w:rsid w:val="00873DF0"/>
    <w:rsid w:val="008756E6"/>
    <w:rsid w:val="008A08B6"/>
    <w:rsid w:val="009B2D44"/>
    <w:rsid w:val="009D4B4F"/>
    <w:rsid w:val="00A07E82"/>
    <w:rsid w:val="00A74C8F"/>
    <w:rsid w:val="00A9710C"/>
    <w:rsid w:val="00AE3E37"/>
    <w:rsid w:val="00B21A57"/>
    <w:rsid w:val="00C33602"/>
    <w:rsid w:val="00CA0168"/>
    <w:rsid w:val="00CD6F55"/>
    <w:rsid w:val="00DE3104"/>
    <w:rsid w:val="00E058DD"/>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Spacing1">
    <w:name w:val="No Spacing1"/>
    <w:qFormat/>
    <w:rsid w:val="002F7817"/>
    <w:pPr>
      <w:widowControl/>
    </w:pPr>
    <w:rPr>
      <w:rFonts w:ascii="Calibri" w:eastAsia="Calibri" w:hAnsi="Calibri" w:cs="Times New Roman"/>
      <w:szCs w:val="28"/>
      <w:lang w:bidi="th-TH"/>
    </w:rPr>
  </w:style>
  <w:style w:type="paragraph" w:styleId="Title">
    <w:name w:val="Title"/>
    <w:basedOn w:val="Normal"/>
    <w:next w:val="Normal"/>
    <w:link w:val="TitleChar"/>
    <w:qFormat/>
    <w:rsid w:val="00CA0168"/>
    <w:pPr>
      <w:framePr w:w="9360" w:hSpace="187" w:vSpace="187" w:wrap="notBeside" w:vAnchor="text" w:hAnchor="page" w:xAlign="center" w:y="1"/>
      <w:widowControl/>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CA0168"/>
    <w:rPr>
      <w:rFonts w:ascii="Times New Roman" w:eastAsia="Times New Roman" w:hAnsi="Times New Roman" w:cs="Times New Roman"/>
      <w:kern w:val="28"/>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Spacing1">
    <w:name w:val="No Spacing1"/>
    <w:qFormat/>
    <w:rsid w:val="002F7817"/>
    <w:pPr>
      <w:widowControl/>
    </w:pPr>
    <w:rPr>
      <w:rFonts w:ascii="Calibri" w:eastAsia="Calibri" w:hAnsi="Calibri" w:cs="Times New Roman"/>
      <w:szCs w:val="28"/>
      <w:lang w:bidi="th-TH"/>
    </w:rPr>
  </w:style>
  <w:style w:type="paragraph" w:styleId="Title">
    <w:name w:val="Title"/>
    <w:basedOn w:val="Normal"/>
    <w:next w:val="Normal"/>
    <w:link w:val="TitleChar"/>
    <w:qFormat/>
    <w:rsid w:val="00CA0168"/>
    <w:pPr>
      <w:framePr w:w="9360" w:hSpace="187" w:vSpace="187" w:wrap="notBeside" w:vAnchor="text" w:hAnchor="page" w:xAlign="center" w:y="1"/>
      <w:widowControl/>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CA0168"/>
    <w:rPr>
      <w:rFonts w:ascii="Times New Roman" w:eastAsia="Times New Roman" w:hAnsi="Times New Roman" w:cs="Times New Roman"/>
      <w:kern w:val="28"/>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95015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7166337">
      <w:bodyDiv w:val="1"/>
      <w:marLeft w:val="0"/>
      <w:marRight w:val="0"/>
      <w:marTop w:val="0"/>
      <w:marBottom w:val="0"/>
      <w:divBdr>
        <w:top w:val="none" w:sz="0" w:space="0" w:color="auto"/>
        <w:left w:val="none" w:sz="0" w:space="0" w:color="auto"/>
        <w:bottom w:val="none" w:sz="0" w:space="0" w:color="auto"/>
        <w:right w:val="none" w:sz="0" w:space="0" w:color="auto"/>
      </w:divBdr>
    </w:div>
    <w:div w:id="875503167">
      <w:bodyDiv w:val="1"/>
      <w:marLeft w:val="0"/>
      <w:marRight w:val="0"/>
      <w:marTop w:val="0"/>
      <w:marBottom w:val="0"/>
      <w:divBdr>
        <w:top w:val="none" w:sz="0" w:space="0" w:color="auto"/>
        <w:left w:val="none" w:sz="0" w:space="0" w:color="auto"/>
        <w:bottom w:val="none" w:sz="0" w:space="0" w:color="auto"/>
        <w:right w:val="none" w:sz="0" w:space="0" w:color="auto"/>
      </w:divBdr>
    </w:div>
    <w:div w:id="13045783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pii/S2211379718300780"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Administrator_PC</cp:lastModifiedBy>
  <cp:revision>22</cp:revision>
  <dcterms:created xsi:type="dcterms:W3CDTF">2018-03-29T07:30:00Z</dcterms:created>
  <dcterms:modified xsi:type="dcterms:W3CDTF">2018-03-29T07:55:00Z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