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CF4" w:rsidRPr="00963CF4" w:rsidRDefault="000B4B19" w:rsidP="00B35A67">
      <w:pPr>
        <w:bidi w:val="0"/>
        <w:spacing w:line="360" w:lineRule="auto"/>
        <w:jc w:val="center"/>
        <w:rPr>
          <w:b/>
          <w:bCs/>
          <w:sz w:val="36"/>
          <w:szCs w:val="36"/>
        </w:rPr>
      </w:pPr>
      <w:r>
        <w:rPr>
          <w:b/>
          <w:bCs/>
          <w:sz w:val="36"/>
          <w:szCs w:val="36"/>
        </w:rPr>
        <w:t>Estimation</w:t>
      </w:r>
      <w:r w:rsidR="00963CF4" w:rsidRPr="00963CF4">
        <w:rPr>
          <w:b/>
          <w:bCs/>
          <w:sz w:val="36"/>
          <w:szCs w:val="36"/>
        </w:rPr>
        <w:t xml:space="preserve"> of Tropospheric Delay </w:t>
      </w:r>
      <w:r>
        <w:rPr>
          <w:b/>
          <w:bCs/>
          <w:sz w:val="36"/>
          <w:szCs w:val="36"/>
        </w:rPr>
        <w:t>Gradient</w:t>
      </w:r>
      <w:r w:rsidR="00963CF4" w:rsidRPr="00963CF4">
        <w:rPr>
          <w:b/>
          <w:bCs/>
          <w:sz w:val="36"/>
          <w:szCs w:val="36"/>
        </w:rPr>
        <w:t xml:space="preserve"> M</w:t>
      </w:r>
      <w:r w:rsidR="00CD2AF0">
        <w:rPr>
          <w:b/>
          <w:bCs/>
          <w:sz w:val="36"/>
          <w:szCs w:val="36"/>
        </w:rPr>
        <w:t>apping function</w:t>
      </w:r>
      <w:r w:rsidR="00963CF4" w:rsidRPr="00963CF4">
        <w:rPr>
          <w:b/>
          <w:bCs/>
          <w:sz w:val="36"/>
          <w:szCs w:val="36"/>
        </w:rPr>
        <w:t xml:space="preserve"> in Egypt: Using PTD Database Model</w:t>
      </w:r>
    </w:p>
    <w:p w:rsidR="00963CF4" w:rsidRPr="00963CF4" w:rsidRDefault="00963CF4" w:rsidP="00B35A67">
      <w:pPr>
        <w:bidi w:val="0"/>
        <w:spacing w:line="360" w:lineRule="auto"/>
        <w:jc w:val="both"/>
        <w:rPr>
          <w:b/>
          <w:bCs/>
          <w:sz w:val="28"/>
          <w:szCs w:val="28"/>
        </w:rPr>
      </w:pPr>
    </w:p>
    <w:p w:rsidR="00963CF4" w:rsidRDefault="00963CF4" w:rsidP="00B35A67">
      <w:pPr>
        <w:pStyle w:val="BodyTextFirstIndent"/>
        <w:bidi w:val="0"/>
        <w:spacing w:line="360" w:lineRule="auto"/>
        <w:ind w:firstLine="0"/>
        <w:jc w:val="both"/>
        <w:rPr>
          <w:b/>
          <w:bCs/>
          <w:sz w:val="28"/>
          <w:szCs w:val="28"/>
        </w:rPr>
      </w:pPr>
    </w:p>
    <w:p w:rsidR="008A73E4" w:rsidRDefault="008A73E4" w:rsidP="008A73E4">
      <w:pPr>
        <w:pStyle w:val="BodyTextFirstIndent"/>
        <w:bidi w:val="0"/>
        <w:spacing w:line="360" w:lineRule="auto"/>
        <w:ind w:firstLine="0"/>
        <w:jc w:val="both"/>
        <w:rPr>
          <w:b/>
          <w:bCs/>
          <w:sz w:val="28"/>
          <w:szCs w:val="28"/>
        </w:rPr>
      </w:pPr>
    </w:p>
    <w:p w:rsidR="008A73E4" w:rsidRDefault="008A73E4" w:rsidP="008A73E4">
      <w:pPr>
        <w:pStyle w:val="BodyTextFirstIndent"/>
        <w:bidi w:val="0"/>
        <w:spacing w:line="360" w:lineRule="auto"/>
        <w:ind w:firstLine="0"/>
        <w:jc w:val="both"/>
        <w:rPr>
          <w:b/>
          <w:bCs/>
          <w:sz w:val="28"/>
          <w:szCs w:val="28"/>
        </w:rPr>
      </w:pPr>
    </w:p>
    <w:p w:rsidR="008A73E4" w:rsidRDefault="008A73E4" w:rsidP="008A73E4">
      <w:pPr>
        <w:pStyle w:val="BodyTextFirstIndent"/>
        <w:bidi w:val="0"/>
        <w:spacing w:line="360" w:lineRule="auto"/>
        <w:ind w:firstLine="0"/>
        <w:jc w:val="both"/>
        <w:rPr>
          <w:b/>
          <w:bCs/>
          <w:sz w:val="28"/>
          <w:szCs w:val="28"/>
        </w:rPr>
      </w:pPr>
    </w:p>
    <w:p w:rsidR="008A73E4" w:rsidRDefault="008A73E4" w:rsidP="008A73E4">
      <w:pPr>
        <w:pStyle w:val="BodyTextFirstIndent"/>
        <w:bidi w:val="0"/>
        <w:spacing w:line="360" w:lineRule="auto"/>
        <w:ind w:firstLine="0"/>
        <w:jc w:val="both"/>
        <w:rPr>
          <w:b/>
          <w:bCs/>
          <w:sz w:val="28"/>
          <w:szCs w:val="28"/>
        </w:rPr>
      </w:pPr>
    </w:p>
    <w:p w:rsidR="008A73E4" w:rsidRPr="00963CF4" w:rsidRDefault="008A73E4" w:rsidP="008A73E4">
      <w:pPr>
        <w:pStyle w:val="BodyTextFirstIndent"/>
        <w:bidi w:val="0"/>
        <w:spacing w:line="360" w:lineRule="auto"/>
        <w:ind w:firstLine="0"/>
        <w:jc w:val="both"/>
        <w:rPr>
          <w:b/>
          <w:bCs/>
          <w:sz w:val="28"/>
          <w:szCs w:val="28"/>
        </w:rPr>
      </w:pPr>
      <w:bookmarkStart w:id="0" w:name="_GoBack"/>
      <w:bookmarkEnd w:id="0"/>
    </w:p>
    <w:p w:rsidR="00963CF4" w:rsidRPr="00963CF4" w:rsidRDefault="00963CF4" w:rsidP="00B35A67">
      <w:pPr>
        <w:pStyle w:val="BodyTextFirstIndent"/>
        <w:bidi w:val="0"/>
        <w:spacing w:line="360" w:lineRule="auto"/>
        <w:ind w:firstLine="0"/>
        <w:jc w:val="both"/>
        <w:rPr>
          <w:sz w:val="28"/>
          <w:szCs w:val="28"/>
        </w:rPr>
      </w:pPr>
      <w:r w:rsidRPr="00963CF4">
        <w:rPr>
          <w:b/>
          <w:bCs/>
          <w:sz w:val="28"/>
          <w:szCs w:val="28"/>
        </w:rPr>
        <w:t>ABSTRACT</w:t>
      </w:r>
    </w:p>
    <w:p w:rsidR="00B11044" w:rsidRPr="00C04141" w:rsidRDefault="003A2DD8" w:rsidP="00A125BF">
      <w:pPr>
        <w:autoSpaceDE w:val="0"/>
        <w:autoSpaceDN w:val="0"/>
        <w:bidi w:val="0"/>
        <w:adjustRightInd w:val="0"/>
        <w:spacing w:line="360" w:lineRule="auto"/>
        <w:ind w:firstLine="360"/>
        <w:jc w:val="both"/>
        <w:rPr>
          <w:color w:val="000000" w:themeColor="text1"/>
          <w:sz w:val="28"/>
          <w:szCs w:val="28"/>
        </w:rPr>
      </w:pPr>
      <w:r w:rsidRPr="00302E58">
        <w:rPr>
          <w:color w:val="000000" w:themeColor="text1"/>
          <w:sz w:val="28"/>
          <w:szCs w:val="28"/>
        </w:rPr>
        <w:t xml:space="preserve">The azimuthal asymmetry of the </w:t>
      </w:r>
      <w:r>
        <w:rPr>
          <w:color w:val="000000" w:themeColor="text1"/>
          <w:sz w:val="28"/>
          <w:szCs w:val="28"/>
        </w:rPr>
        <w:t>tropospheric delay is known as</w:t>
      </w:r>
      <w:r w:rsidRPr="00302E58">
        <w:rPr>
          <w:color w:val="000000" w:themeColor="text1"/>
          <w:sz w:val="28"/>
          <w:szCs w:val="28"/>
        </w:rPr>
        <w:t xml:space="preserve"> ho</w:t>
      </w:r>
      <w:r>
        <w:rPr>
          <w:color w:val="000000" w:themeColor="text1"/>
          <w:sz w:val="28"/>
          <w:szCs w:val="28"/>
        </w:rPr>
        <w:t xml:space="preserve">rizontal tropospheric gradients. </w:t>
      </w:r>
      <w:r w:rsidRPr="00302E58">
        <w:rPr>
          <w:color w:val="000000" w:themeColor="text1"/>
          <w:sz w:val="28"/>
          <w:szCs w:val="28"/>
        </w:rPr>
        <w:t xml:space="preserve">The gradient mapping functions are </w:t>
      </w:r>
      <w:r>
        <w:rPr>
          <w:color w:val="000000" w:themeColor="text1"/>
          <w:sz w:val="28"/>
          <w:szCs w:val="28"/>
        </w:rPr>
        <w:t>effected</w:t>
      </w:r>
      <w:r w:rsidR="009B3DEF">
        <w:rPr>
          <w:color w:val="000000" w:themeColor="text1"/>
          <w:sz w:val="28"/>
          <w:szCs w:val="28"/>
        </w:rPr>
        <w:t xml:space="preserve"> mainly</w:t>
      </w:r>
      <w:r>
        <w:rPr>
          <w:color w:val="000000" w:themeColor="text1"/>
          <w:sz w:val="28"/>
          <w:szCs w:val="28"/>
        </w:rPr>
        <w:t xml:space="preserve"> in geodetic network.</w:t>
      </w:r>
      <w:r w:rsidR="00C04141">
        <w:rPr>
          <w:color w:val="000000" w:themeColor="text1"/>
          <w:sz w:val="28"/>
          <w:szCs w:val="28"/>
        </w:rPr>
        <w:t xml:space="preserve"> </w:t>
      </w:r>
      <w:r w:rsidR="00B11044" w:rsidRPr="00EC5B6D">
        <w:rPr>
          <w:color w:val="000000"/>
          <w:sz w:val="28"/>
          <w:szCs w:val="28"/>
          <w:lang w:bidi="ar-EG"/>
        </w:rPr>
        <w:t>Th</w:t>
      </w:r>
      <w:r w:rsidR="00B11044">
        <w:rPr>
          <w:color w:val="000000"/>
          <w:sz w:val="28"/>
          <w:szCs w:val="28"/>
          <w:lang w:bidi="ar-EG"/>
        </w:rPr>
        <w:t xml:space="preserve">e present </w:t>
      </w:r>
      <w:r w:rsidR="00B11044" w:rsidRPr="00EC5B6D">
        <w:rPr>
          <w:color w:val="000000"/>
          <w:sz w:val="28"/>
          <w:szCs w:val="28"/>
          <w:lang w:bidi="ar-EG"/>
        </w:rPr>
        <w:t xml:space="preserve">research reveals the importance of the </w:t>
      </w:r>
      <w:r w:rsidR="00B11044">
        <w:rPr>
          <w:color w:val="000000"/>
          <w:sz w:val="28"/>
          <w:szCs w:val="28"/>
          <w:lang w:bidi="ar-EG"/>
        </w:rPr>
        <w:t>gradient mapping function</w:t>
      </w:r>
      <w:r w:rsidR="00B11044" w:rsidRPr="00EC5B6D">
        <w:rPr>
          <w:color w:val="000000"/>
          <w:sz w:val="28"/>
          <w:szCs w:val="28"/>
          <w:lang w:bidi="ar-EG"/>
        </w:rPr>
        <w:t xml:space="preserve"> </w:t>
      </w:r>
      <w:r w:rsidR="00B11044">
        <w:rPr>
          <w:color w:val="000000"/>
          <w:sz w:val="28"/>
          <w:szCs w:val="28"/>
          <w:lang w:bidi="ar-EG"/>
        </w:rPr>
        <w:t>b</w:t>
      </w:r>
      <w:r w:rsidR="00B11044" w:rsidRPr="00EC5B6D">
        <w:rPr>
          <w:color w:val="000000"/>
          <w:sz w:val="28"/>
          <w:szCs w:val="28"/>
          <w:lang w:bidi="ar-EG"/>
        </w:rPr>
        <w:t xml:space="preserve">y </w:t>
      </w:r>
      <w:r w:rsidR="00B11044">
        <w:rPr>
          <w:color w:val="000000"/>
          <w:sz w:val="28"/>
          <w:szCs w:val="28"/>
          <w:lang w:bidi="ar-EG"/>
        </w:rPr>
        <w:t>estimate</w:t>
      </w:r>
      <w:r w:rsidR="00B11044" w:rsidRPr="00EC5B6D">
        <w:rPr>
          <w:color w:val="000000"/>
          <w:sz w:val="28"/>
          <w:szCs w:val="28"/>
          <w:lang w:bidi="ar-EG"/>
        </w:rPr>
        <w:t xml:space="preserve"> of </w:t>
      </w:r>
      <w:r w:rsidR="00B11044">
        <w:rPr>
          <w:color w:val="000000"/>
          <w:sz w:val="28"/>
          <w:szCs w:val="28"/>
          <w:lang w:bidi="ar-EG"/>
        </w:rPr>
        <w:t>t</w:t>
      </w:r>
      <w:r w:rsidR="00B11044" w:rsidRPr="00EC5B6D">
        <w:rPr>
          <w:color w:val="000000"/>
          <w:sz w:val="28"/>
          <w:szCs w:val="28"/>
          <w:lang w:bidi="ar-EG"/>
        </w:rPr>
        <w:t xml:space="preserve">ropospheric </w:t>
      </w:r>
      <w:r w:rsidR="00B11044">
        <w:rPr>
          <w:color w:val="000000"/>
          <w:sz w:val="28"/>
          <w:szCs w:val="28"/>
          <w:lang w:bidi="ar-EG"/>
        </w:rPr>
        <w:t xml:space="preserve">slant </w:t>
      </w:r>
      <w:r w:rsidR="00B11044" w:rsidRPr="00EC5B6D">
        <w:rPr>
          <w:color w:val="000000"/>
          <w:sz w:val="28"/>
          <w:szCs w:val="28"/>
          <w:lang w:bidi="ar-EG"/>
        </w:rPr>
        <w:t xml:space="preserve">delay </w:t>
      </w:r>
      <w:r w:rsidR="00B11044">
        <w:rPr>
          <w:sz w:val="28"/>
          <w:szCs w:val="28"/>
        </w:rPr>
        <w:t xml:space="preserve">in different </w:t>
      </w:r>
      <w:r w:rsidR="00A125BF">
        <w:rPr>
          <w:sz w:val="28"/>
          <w:szCs w:val="28"/>
        </w:rPr>
        <w:t>azimuth angles</w:t>
      </w:r>
      <w:r w:rsidR="00B11044">
        <w:rPr>
          <w:sz w:val="28"/>
          <w:szCs w:val="28"/>
        </w:rPr>
        <w:t>. The data estimated by PTD (precise troposphere delay module) in Egypt using resolution 2</w:t>
      </w:r>
      <w:r w:rsidR="00B11044">
        <w:rPr>
          <w:rFonts w:ascii="Calibri" w:hAnsi="Calibri"/>
          <w:sz w:val="28"/>
          <w:szCs w:val="28"/>
        </w:rPr>
        <w:t>⁰</w:t>
      </w:r>
      <w:r w:rsidR="00B11044">
        <w:rPr>
          <w:sz w:val="28"/>
          <w:szCs w:val="28"/>
        </w:rPr>
        <w:t xml:space="preserve"> in latitude and longitude</w:t>
      </w:r>
      <w:r w:rsidR="009B3DEF">
        <w:rPr>
          <w:sz w:val="28"/>
          <w:szCs w:val="28"/>
        </w:rPr>
        <w:t>. The data were covered year 2014</w:t>
      </w:r>
      <w:r w:rsidR="00B11044">
        <w:rPr>
          <w:sz w:val="28"/>
          <w:szCs w:val="28"/>
        </w:rPr>
        <w:t>.</w:t>
      </w:r>
      <w:r w:rsidR="00E73185">
        <w:rPr>
          <w:sz w:val="28"/>
          <w:szCs w:val="28"/>
        </w:rPr>
        <w:t xml:space="preserve"> </w:t>
      </w:r>
      <w:r w:rsidR="00E73185" w:rsidRPr="00226B32">
        <w:rPr>
          <w:sz w:val="28"/>
          <w:szCs w:val="28"/>
        </w:rPr>
        <w:t>The effect of azimuth angles was taken into account indirectly. The azimuth was studied between 0° to 360° with interval of 45°.</w:t>
      </w:r>
    </w:p>
    <w:p w:rsidR="00B11044" w:rsidRPr="00EE4D33" w:rsidRDefault="00B11044" w:rsidP="00F6751B">
      <w:pPr>
        <w:bidi w:val="0"/>
        <w:spacing w:line="360" w:lineRule="auto"/>
        <w:ind w:firstLine="357"/>
        <w:jc w:val="both"/>
        <w:rPr>
          <w:sz w:val="28"/>
          <w:szCs w:val="28"/>
        </w:rPr>
      </w:pPr>
      <w:r w:rsidRPr="00D1647E">
        <w:rPr>
          <w:sz w:val="28"/>
          <w:szCs w:val="28"/>
          <w:lang w:bidi="ar-EG"/>
        </w:rPr>
        <w:t xml:space="preserve">The results of the </w:t>
      </w:r>
      <w:r>
        <w:rPr>
          <w:sz w:val="28"/>
          <w:szCs w:val="28"/>
          <w:lang w:bidi="ar-EG"/>
        </w:rPr>
        <w:t xml:space="preserve">present </w:t>
      </w:r>
      <w:r w:rsidRPr="00D1647E">
        <w:rPr>
          <w:sz w:val="28"/>
          <w:szCs w:val="28"/>
          <w:lang w:bidi="ar-EG"/>
        </w:rPr>
        <w:t>research indicate that the latitude and longitude variation using is not significant. D</w:t>
      </w:r>
      <w:r w:rsidRPr="00D1647E">
        <w:rPr>
          <w:noProof/>
          <w:sz w:val="28"/>
          <w:szCs w:val="28"/>
          <w:lang w:bidi="ar-EG"/>
        </w:rPr>
        <w:t xml:space="preserve">ry </w:t>
      </w:r>
      <w:r>
        <w:rPr>
          <w:noProof/>
          <w:sz w:val="28"/>
          <w:szCs w:val="28"/>
          <w:lang w:bidi="ar-EG"/>
        </w:rPr>
        <w:t xml:space="preserve">gradient mapping function </w:t>
      </w:r>
      <w:r w:rsidRPr="00D1647E">
        <w:rPr>
          <w:noProof/>
          <w:sz w:val="28"/>
          <w:szCs w:val="28"/>
          <w:lang w:bidi="ar-EG"/>
        </w:rPr>
        <w:t xml:space="preserve">are </w:t>
      </w:r>
      <w:r>
        <w:rPr>
          <w:noProof/>
          <w:sz w:val="28"/>
          <w:szCs w:val="28"/>
          <w:lang w:bidi="ar-EG"/>
        </w:rPr>
        <w:t>gre</w:t>
      </w:r>
      <w:r w:rsidR="007D5E77">
        <w:rPr>
          <w:noProof/>
          <w:sz w:val="28"/>
          <w:szCs w:val="28"/>
          <w:lang w:bidi="ar-EG"/>
        </w:rPr>
        <w:t>a</w:t>
      </w:r>
      <w:r>
        <w:rPr>
          <w:noProof/>
          <w:sz w:val="28"/>
          <w:szCs w:val="28"/>
          <w:lang w:bidi="ar-EG"/>
        </w:rPr>
        <w:t>ter</w:t>
      </w:r>
      <w:r w:rsidRPr="00D1647E">
        <w:rPr>
          <w:noProof/>
          <w:sz w:val="28"/>
          <w:szCs w:val="28"/>
          <w:lang w:bidi="ar-EG"/>
        </w:rPr>
        <w:t xml:space="preserve"> than </w:t>
      </w:r>
      <w:r>
        <w:rPr>
          <w:noProof/>
          <w:sz w:val="28"/>
          <w:szCs w:val="28"/>
          <w:lang w:bidi="ar-EG"/>
        </w:rPr>
        <w:t>wet</w:t>
      </w:r>
      <w:r w:rsidR="00C155B7">
        <w:rPr>
          <w:noProof/>
          <w:sz w:val="28"/>
          <w:szCs w:val="28"/>
          <w:lang w:bidi="ar-EG"/>
        </w:rPr>
        <w:t xml:space="preserve"> gradient mapping function.</w:t>
      </w:r>
      <w:r w:rsidR="009B3DEF">
        <w:rPr>
          <w:noProof/>
          <w:sz w:val="28"/>
          <w:szCs w:val="28"/>
          <w:lang w:bidi="ar-EG"/>
        </w:rPr>
        <w:t xml:space="preserve"> The seasonal effects of azimith asymetric are nearly approach </w:t>
      </w:r>
      <w:r w:rsidR="00F6751B">
        <w:rPr>
          <w:noProof/>
          <w:sz w:val="28"/>
          <w:szCs w:val="28"/>
          <w:lang w:bidi="ar-EG"/>
        </w:rPr>
        <w:t>nothing</w:t>
      </w:r>
      <w:r w:rsidR="009B3DEF">
        <w:rPr>
          <w:noProof/>
          <w:sz w:val="28"/>
          <w:szCs w:val="28"/>
          <w:lang w:bidi="ar-EG"/>
        </w:rPr>
        <w:t>.</w:t>
      </w:r>
    </w:p>
    <w:p w:rsidR="000E3976" w:rsidRDefault="00C155B7" w:rsidP="009A5921">
      <w:pPr>
        <w:bidi w:val="0"/>
        <w:spacing w:line="360" w:lineRule="auto"/>
        <w:ind w:firstLine="357"/>
        <w:jc w:val="both"/>
        <w:rPr>
          <w:sz w:val="28"/>
          <w:szCs w:val="28"/>
          <w:rtl/>
          <w:lang w:bidi="ar-EG"/>
        </w:rPr>
      </w:pPr>
      <w:r w:rsidRPr="000B4B19">
        <w:rPr>
          <w:sz w:val="28"/>
          <w:szCs w:val="28"/>
          <w:lang w:bidi="ar-EG"/>
        </w:rPr>
        <w:t xml:space="preserve">The azimuthal asymmetry is not clear. Although, the fluctuation of azimuth asymmetric is less than </w:t>
      </w:r>
      <w:r w:rsidR="009A5921">
        <w:rPr>
          <w:sz w:val="28"/>
          <w:szCs w:val="28"/>
          <w:lang w:bidi="ar-EG"/>
        </w:rPr>
        <w:t>19</w:t>
      </w:r>
      <w:r w:rsidRPr="000B4B19">
        <w:rPr>
          <w:sz w:val="28"/>
          <w:szCs w:val="28"/>
          <w:lang w:bidi="ar-EG"/>
        </w:rPr>
        <w:t xml:space="preserve"> cm. The azimuthal asymmetry gets more and more important than elevation-dependent. </w:t>
      </w:r>
      <w:r w:rsidR="0003289F" w:rsidRPr="009B3DEF">
        <w:rPr>
          <w:sz w:val="28"/>
          <w:szCs w:val="28"/>
          <w:lang w:bidi="ar-EG"/>
        </w:rPr>
        <w:t>E</w:t>
      </w:r>
      <w:r w:rsidRPr="009B3DEF">
        <w:rPr>
          <w:sz w:val="28"/>
          <w:szCs w:val="28"/>
          <w:lang w:bidi="ar-EG"/>
        </w:rPr>
        <w:t>stimating horizontal tropospheric gradients is a common way to cope with these asymmetries.</w:t>
      </w:r>
    </w:p>
    <w:p w:rsidR="003B4FD2" w:rsidRPr="00624241" w:rsidRDefault="003B4FD2" w:rsidP="00B35A67">
      <w:pPr>
        <w:pStyle w:val="BodyTextFirstIndent"/>
        <w:widowControl w:val="0"/>
        <w:bidi w:val="0"/>
        <w:spacing w:line="360" w:lineRule="auto"/>
        <w:ind w:firstLine="170"/>
        <w:jc w:val="both"/>
        <w:rPr>
          <w:sz w:val="28"/>
          <w:szCs w:val="28"/>
          <w:highlight w:val="yellow"/>
        </w:rPr>
      </w:pPr>
    </w:p>
    <w:p w:rsidR="00963CF4" w:rsidRPr="00963CF4" w:rsidRDefault="003B4FD2" w:rsidP="00B35A67">
      <w:pPr>
        <w:pBdr>
          <w:bottom w:val="single" w:sz="4" w:space="0" w:color="auto"/>
        </w:pBdr>
        <w:bidi w:val="0"/>
        <w:spacing w:line="360" w:lineRule="auto"/>
        <w:ind w:firstLine="170"/>
        <w:jc w:val="both"/>
        <w:rPr>
          <w:bCs/>
          <w:sz w:val="28"/>
          <w:szCs w:val="28"/>
        </w:rPr>
      </w:pPr>
      <w:r w:rsidRPr="00B11044">
        <w:rPr>
          <w:bCs/>
          <w:sz w:val="28"/>
          <w:szCs w:val="28"/>
        </w:rPr>
        <w:t>PTD</w:t>
      </w:r>
      <w:r w:rsidR="00963CF4" w:rsidRPr="00B11044">
        <w:rPr>
          <w:bCs/>
          <w:sz w:val="28"/>
          <w:szCs w:val="28"/>
        </w:rPr>
        <w:t xml:space="preserve">, </w:t>
      </w:r>
      <w:r w:rsidRPr="00B11044">
        <w:rPr>
          <w:bCs/>
          <w:sz w:val="28"/>
          <w:szCs w:val="28"/>
        </w:rPr>
        <w:t>Mapping Function</w:t>
      </w:r>
      <w:r w:rsidR="00B11044" w:rsidRPr="00B11044">
        <w:rPr>
          <w:bCs/>
          <w:sz w:val="28"/>
          <w:szCs w:val="28"/>
        </w:rPr>
        <w:t>, Gradient Mapping Function</w:t>
      </w:r>
    </w:p>
    <w:p w:rsidR="004F64ED" w:rsidRDefault="004F64ED" w:rsidP="00B35A67">
      <w:pPr>
        <w:pStyle w:val="ListParagraph"/>
        <w:numPr>
          <w:ilvl w:val="0"/>
          <w:numId w:val="14"/>
        </w:numPr>
        <w:bidi w:val="0"/>
        <w:spacing w:line="360" w:lineRule="auto"/>
        <w:jc w:val="both"/>
        <w:rPr>
          <w:b/>
          <w:bCs/>
          <w:sz w:val="28"/>
          <w:szCs w:val="28"/>
        </w:rPr>
      </w:pPr>
      <w:r w:rsidRPr="00963CF4">
        <w:rPr>
          <w:b/>
          <w:bCs/>
          <w:sz w:val="28"/>
          <w:szCs w:val="28"/>
        </w:rPr>
        <w:lastRenderedPageBreak/>
        <w:t>Introduction</w:t>
      </w:r>
    </w:p>
    <w:p w:rsidR="00226B32" w:rsidRPr="00226B32" w:rsidRDefault="00EC76B0" w:rsidP="00B35A67">
      <w:pPr>
        <w:autoSpaceDE w:val="0"/>
        <w:autoSpaceDN w:val="0"/>
        <w:bidi w:val="0"/>
        <w:adjustRightInd w:val="0"/>
        <w:spacing w:line="360" w:lineRule="auto"/>
        <w:ind w:firstLine="720"/>
        <w:jc w:val="both"/>
        <w:rPr>
          <w:color w:val="000000"/>
          <w:sz w:val="28"/>
          <w:szCs w:val="28"/>
        </w:rPr>
      </w:pPr>
      <w:r w:rsidRPr="00226B32">
        <w:rPr>
          <w:rFonts w:asciiTheme="majorBidi" w:hAnsiTheme="majorBidi" w:cstheme="majorBidi"/>
          <w:sz w:val="28"/>
          <w:szCs w:val="28"/>
        </w:rPr>
        <w:t>The</w:t>
      </w:r>
      <w:r w:rsidR="004F64ED" w:rsidRPr="00226B32">
        <w:rPr>
          <w:rFonts w:asciiTheme="majorBidi" w:hAnsiTheme="majorBidi" w:cstheme="majorBidi"/>
          <w:sz w:val="28"/>
          <w:szCs w:val="28"/>
        </w:rPr>
        <w:t xml:space="preserve"> tropospheric delay experienced by radio waves propagating through the electrically neutral atmosphere. The tropospheric delay is described as a product of the delay at the zenith and a mapping function</w:t>
      </w:r>
      <w:r w:rsidR="007B1FAD">
        <w:rPr>
          <w:rFonts w:asciiTheme="majorBidi" w:hAnsiTheme="majorBidi" w:cstheme="majorBidi"/>
          <w:sz w:val="28"/>
          <w:szCs w:val="28"/>
        </w:rPr>
        <w:t xml:space="preserve"> (e.g. </w:t>
      </w:r>
      <w:r w:rsidR="007B1FAD">
        <w:rPr>
          <w:color w:val="000000"/>
          <w:sz w:val="28"/>
          <w:szCs w:val="28"/>
          <w:lang w:bidi="ar-EG"/>
        </w:rPr>
        <w:t xml:space="preserve">Cove, 2005; </w:t>
      </w:r>
      <w:r w:rsidR="007B1FAD" w:rsidRPr="00D31940">
        <w:rPr>
          <w:color w:val="000000"/>
          <w:sz w:val="28"/>
          <w:szCs w:val="28"/>
          <w:lang w:bidi="ar-EG"/>
        </w:rPr>
        <w:t>Boehm</w:t>
      </w:r>
      <w:r w:rsidR="007B1FAD">
        <w:rPr>
          <w:color w:val="000000"/>
          <w:sz w:val="28"/>
          <w:szCs w:val="28"/>
          <w:lang w:bidi="ar-EG"/>
        </w:rPr>
        <w:t xml:space="preserve"> et al., 2006)</w:t>
      </w:r>
      <w:r w:rsidR="004F64ED" w:rsidRPr="00226B32">
        <w:rPr>
          <w:rFonts w:asciiTheme="majorBidi" w:hAnsiTheme="majorBidi" w:cstheme="majorBidi"/>
          <w:sz w:val="28"/>
          <w:szCs w:val="28"/>
        </w:rPr>
        <w:t>.</w:t>
      </w:r>
      <w:r w:rsidRPr="00226B32">
        <w:rPr>
          <w:rFonts w:asciiTheme="majorBidi" w:hAnsiTheme="majorBidi" w:cstheme="majorBidi"/>
          <w:sz w:val="28"/>
          <w:szCs w:val="28"/>
        </w:rPr>
        <w:t xml:space="preserve"> </w:t>
      </w:r>
      <w:r w:rsidR="00226B32" w:rsidRPr="00226B32">
        <w:rPr>
          <w:color w:val="000000"/>
          <w:sz w:val="28"/>
          <w:szCs w:val="28"/>
        </w:rPr>
        <w:t>Another option to estimate additional tropospheric parameters is to model the atmospheric azimuthal asymmetries. In that case north and east components are set up in addition to the zenith component. The estimation of tropospheric gradient parameters is recommended only when producing regional or global network solutions, not single baselines</w:t>
      </w:r>
      <w:r w:rsidR="00226B32">
        <w:rPr>
          <w:color w:val="000000"/>
          <w:sz w:val="28"/>
          <w:szCs w:val="28"/>
        </w:rPr>
        <w:t xml:space="preserve"> (</w:t>
      </w:r>
      <w:r w:rsidR="00226B32">
        <w:rPr>
          <w:color w:val="000000"/>
          <w:sz w:val="28"/>
          <w:szCs w:val="28"/>
          <w:lang w:bidi="ar-EG"/>
        </w:rPr>
        <w:t>Collins; Langley, 2003)</w:t>
      </w:r>
      <w:r w:rsidR="00226B32" w:rsidRPr="00226B32">
        <w:rPr>
          <w:color w:val="000000"/>
          <w:sz w:val="28"/>
          <w:szCs w:val="28"/>
        </w:rPr>
        <w:t>.</w:t>
      </w:r>
    </w:p>
    <w:p w:rsidR="00226B32" w:rsidRDefault="00226B32" w:rsidP="00F6751B">
      <w:pPr>
        <w:autoSpaceDE w:val="0"/>
        <w:autoSpaceDN w:val="0"/>
        <w:bidi w:val="0"/>
        <w:adjustRightInd w:val="0"/>
        <w:spacing w:line="360" w:lineRule="auto"/>
        <w:ind w:firstLine="360"/>
        <w:jc w:val="lowKashida"/>
        <w:rPr>
          <w:color w:val="000000"/>
          <w:sz w:val="28"/>
          <w:szCs w:val="28"/>
        </w:rPr>
      </w:pPr>
      <w:r w:rsidRPr="00BA2DA9">
        <w:rPr>
          <w:color w:val="000000"/>
          <w:sz w:val="28"/>
          <w:szCs w:val="28"/>
        </w:rPr>
        <w:t>The use of low elevation data (together with an elevation-dependent weighting) is essential to improve the accuracy of GPS analysis and to de</w:t>
      </w:r>
      <w:r w:rsidR="009B3DEF" w:rsidRPr="00BA2DA9">
        <w:rPr>
          <w:color w:val="000000"/>
          <w:sz w:val="28"/>
          <w:szCs w:val="28"/>
        </w:rPr>
        <w:t xml:space="preserve"> </w:t>
      </w:r>
      <w:r w:rsidRPr="00BA2DA9">
        <w:rPr>
          <w:color w:val="000000"/>
          <w:sz w:val="28"/>
          <w:szCs w:val="28"/>
        </w:rPr>
        <w:t>correlate station heights and tropospheric zenith corrections. Going down to low elevations, however, the azimuthal asymmetry of the local troposphere at an observation site gets more and more important and must be accounted</w:t>
      </w:r>
      <w:r w:rsidR="007B1FAD">
        <w:rPr>
          <w:color w:val="000000"/>
          <w:sz w:val="28"/>
          <w:szCs w:val="28"/>
        </w:rPr>
        <w:t xml:space="preserve"> </w:t>
      </w:r>
      <w:r w:rsidR="007B1FAD">
        <w:rPr>
          <w:rFonts w:asciiTheme="majorBidi" w:hAnsiTheme="majorBidi" w:cstheme="majorBidi"/>
          <w:sz w:val="28"/>
          <w:szCs w:val="28"/>
        </w:rPr>
        <w:t xml:space="preserve">(e.g. </w:t>
      </w:r>
      <w:r w:rsidR="007B1FAD" w:rsidRPr="00D31940">
        <w:rPr>
          <w:color w:val="000000"/>
          <w:sz w:val="28"/>
          <w:szCs w:val="28"/>
          <w:lang w:bidi="ar-EG"/>
        </w:rPr>
        <w:t>Boehm</w:t>
      </w:r>
      <w:r w:rsidR="007B1FAD">
        <w:rPr>
          <w:color w:val="000000"/>
          <w:sz w:val="28"/>
          <w:szCs w:val="28"/>
          <w:lang w:bidi="ar-EG"/>
        </w:rPr>
        <w:t xml:space="preserve"> et al., 2007)</w:t>
      </w:r>
      <w:r w:rsidR="009B3DEF" w:rsidRPr="00BA2DA9">
        <w:rPr>
          <w:color w:val="000000"/>
          <w:sz w:val="28"/>
          <w:szCs w:val="28"/>
        </w:rPr>
        <w:t xml:space="preserve">. </w:t>
      </w:r>
      <w:r w:rsidRPr="00BA2DA9">
        <w:rPr>
          <w:color w:val="000000"/>
          <w:sz w:val="28"/>
          <w:szCs w:val="28"/>
        </w:rPr>
        <w:t xml:space="preserve"> </w:t>
      </w:r>
      <w:r w:rsidR="00BA2DA9" w:rsidRPr="00BA2DA9">
        <w:rPr>
          <w:color w:val="000000"/>
          <w:sz w:val="28"/>
          <w:szCs w:val="28"/>
        </w:rPr>
        <w:t>Horizontal</w:t>
      </w:r>
      <w:r w:rsidRPr="00BA2DA9">
        <w:rPr>
          <w:color w:val="000000"/>
          <w:sz w:val="28"/>
          <w:szCs w:val="28"/>
        </w:rPr>
        <w:t xml:space="preserve"> tropospheric gradients</w:t>
      </w:r>
      <w:r w:rsidR="009B3DEF" w:rsidRPr="00BA2DA9">
        <w:rPr>
          <w:color w:val="000000"/>
          <w:sz w:val="28"/>
          <w:szCs w:val="28"/>
        </w:rPr>
        <w:t xml:space="preserve"> computing</w:t>
      </w:r>
      <w:r w:rsidRPr="00BA2DA9">
        <w:rPr>
          <w:color w:val="000000"/>
          <w:sz w:val="28"/>
          <w:szCs w:val="28"/>
        </w:rPr>
        <w:t xml:space="preserve"> </w:t>
      </w:r>
      <w:r w:rsidR="00BA2DA9" w:rsidRPr="00BA2DA9">
        <w:rPr>
          <w:color w:val="000000"/>
          <w:sz w:val="28"/>
          <w:szCs w:val="28"/>
        </w:rPr>
        <w:t xml:space="preserve">can deal with </w:t>
      </w:r>
      <w:r w:rsidRPr="00BA2DA9">
        <w:rPr>
          <w:color w:val="000000"/>
          <w:sz w:val="28"/>
          <w:szCs w:val="28"/>
        </w:rPr>
        <w:t xml:space="preserve">these asymmetries. The station coordinate repeatability may be considerably improved by this measure, as </w:t>
      </w:r>
      <w:proofErr w:type="spellStart"/>
      <w:r w:rsidRPr="00BA2DA9">
        <w:rPr>
          <w:color w:val="000000"/>
          <w:sz w:val="28"/>
          <w:szCs w:val="28"/>
        </w:rPr>
        <w:t>Meindl</w:t>
      </w:r>
      <w:proofErr w:type="spellEnd"/>
      <w:r w:rsidRPr="00BA2DA9">
        <w:rPr>
          <w:color w:val="000000"/>
          <w:sz w:val="28"/>
          <w:szCs w:val="28"/>
        </w:rPr>
        <w:t xml:space="preserve"> et al., (2004).</w:t>
      </w:r>
    </w:p>
    <w:p w:rsidR="000E3976" w:rsidRPr="00226B32" w:rsidRDefault="00BA2DA9" w:rsidP="00F6751B">
      <w:pPr>
        <w:autoSpaceDE w:val="0"/>
        <w:autoSpaceDN w:val="0"/>
        <w:bidi w:val="0"/>
        <w:adjustRightInd w:val="0"/>
        <w:spacing w:line="360" w:lineRule="auto"/>
        <w:ind w:firstLine="360"/>
        <w:jc w:val="lowKashida"/>
        <w:rPr>
          <w:color w:val="000000"/>
          <w:sz w:val="28"/>
          <w:szCs w:val="28"/>
        </w:rPr>
      </w:pPr>
      <w:r>
        <w:rPr>
          <w:color w:val="000000"/>
          <w:sz w:val="28"/>
          <w:szCs w:val="28"/>
        </w:rPr>
        <w:t xml:space="preserve">The objectives of this </w:t>
      </w:r>
      <w:r w:rsidR="00317D0B">
        <w:rPr>
          <w:color w:val="000000"/>
          <w:sz w:val="28"/>
          <w:szCs w:val="28"/>
        </w:rPr>
        <w:t>research</w:t>
      </w:r>
      <w:r>
        <w:rPr>
          <w:color w:val="000000"/>
          <w:sz w:val="28"/>
          <w:szCs w:val="28"/>
        </w:rPr>
        <w:t xml:space="preserve"> are to study the effects of tropospheric </w:t>
      </w:r>
      <w:r w:rsidR="00317D0B">
        <w:rPr>
          <w:color w:val="000000"/>
          <w:sz w:val="28"/>
          <w:szCs w:val="28"/>
        </w:rPr>
        <w:t xml:space="preserve">azimuth asymmetric in </w:t>
      </w:r>
      <w:r>
        <w:rPr>
          <w:color w:val="000000"/>
          <w:sz w:val="28"/>
          <w:szCs w:val="28"/>
        </w:rPr>
        <w:t xml:space="preserve">dry and wet </w:t>
      </w:r>
      <w:r w:rsidR="00317D0B">
        <w:rPr>
          <w:color w:val="000000"/>
          <w:sz w:val="28"/>
          <w:szCs w:val="28"/>
        </w:rPr>
        <w:t>case</w:t>
      </w:r>
      <w:r w:rsidR="000E0F4D">
        <w:rPr>
          <w:color w:val="000000"/>
          <w:sz w:val="28"/>
          <w:szCs w:val="28"/>
        </w:rPr>
        <w:t xml:space="preserve"> and the effect of location (latitude and longitude) and </w:t>
      </w:r>
      <w:r w:rsidR="00F6751B">
        <w:rPr>
          <w:color w:val="000000"/>
          <w:sz w:val="28"/>
          <w:szCs w:val="28"/>
        </w:rPr>
        <w:t xml:space="preserve">for all </w:t>
      </w:r>
      <w:r w:rsidR="000E0F4D">
        <w:rPr>
          <w:color w:val="000000"/>
          <w:sz w:val="28"/>
          <w:szCs w:val="28"/>
        </w:rPr>
        <w:t>season</w:t>
      </w:r>
      <w:r w:rsidR="00F6751B">
        <w:rPr>
          <w:color w:val="000000"/>
          <w:sz w:val="28"/>
          <w:szCs w:val="28"/>
        </w:rPr>
        <w:t>s</w:t>
      </w:r>
      <w:r w:rsidR="00E73185">
        <w:rPr>
          <w:color w:val="000000"/>
          <w:sz w:val="28"/>
          <w:szCs w:val="28"/>
        </w:rPr>
        <w:t>.</w:t>
      </w:r>
    </w:p>
    <w:p w:rsidR="001B30EA" w:rsidRPr="009A5EAD" w:rsidRDefault="001B30EA" w:rsidP="00B35A67">
      <w:pPr>
        <w:autoSpaceDE w:val="0"/>
        <w:autoSpaceDN w:val="0"/>
        <w:bidi w:val="0"/>
        <w:adjustRightInd w:val="0"/>
        <w:spacing w:line="360" w:lineRule="auto"/>
        <w:jc w:val="both"/>
        <w:rPr>
          <w:rFonts w:asciiTheme="majorBidi" w:hAnsiTheme="majorBidi" w:cstheme="majorBidi"/>
          <w:sz w:val="28"/>
          <w:szCs w:val="28"/>
        </w:rPr>
      </w:pPr>
    </w:p>
    <w:p w:rsidR="004F64ED" w:rsidRPr="004F64ED" w:rsidRDefault="004F64ED" w:rsidP="00B35A67">
      <w:pPr>
        <w:pStyle w:val="ListParagraph"/>
        <w:numPr>
          <w:ilvl w:val="0"/>
          <w:numId w:val="14"/>
        </w:numPr>
        <w:autoSpaceDE w:val="0"/>
        <w:autoSpaceDN w:val="0"/>
        <w:bidi w:val="0"/>
        <w:adjustRightInd w:val="0"/>
        <w:spacing w:line="360" w:lineRule="auto"/>
        <w:jc w:val="both"/>
        <w:rPr>
          <w:b/>
          <w:bCs/>
          <w:sz w:val="28"/>
          <w:szCs w:val="28"/>
          <w:lang w:bidi="ar-EG"/>
        </w:rPr>
      </w:pPr>
      <w:r w:rsidRPr="004F64ED">
        <w:rPr>
          <w:b/>
          <w:bCs/>
          <w:sz w:val="28"/>
          <w:szCs w:val="28"/>
        </w:rPr>
        <w:t>Data Analysis</w:t>
      </w:r>
    </w:p>
    <w:p w:rsidR="004F64ED" w:rsidRDefault="00226B32" w:rsidP="00B35A67">
      <w:pPr>
        <w:autoSpaceDE w:val="0"/>
        <w:autoSpaceDN w:val="0"/>
        <w:bidi w:val="0"/>
        <w:adjustRightInd w:val="0"/>
        <w:spacing w:line="360" w:lineRule="auto"/>
        <w:ind w:firstLine="720"/>
        <w:jc w:val="both"/>
        <w:rPr>
          <w:sz w:val="28"/>
          <w:szCs w:val="28"/>
        </w:rPr>
      </w:pPr>
      <w:proofErr w:type="spellStart"/>
      <w:r w:rsidRPr="00226B32">
        <w:rPr>
          <w:sz w:val="28"/>
          <w:szCs w:val="28"/>
        </w:rPr>
        <w:t>Abdelfatah</w:t>
      </w:r>
      <w:proofErr w:type="spellEnd"/>
      <w:r w:rsidRPr="00226B32">
        <w:rPr>
          <w:sz w:val="28"/>
          <w:szCs w:val="28"/>
        </w:rPr>
        <w:t xml:space="preserve"> </w:t>
      </w:r>
      <w:proofErr w:type="gramStart"/>
      <w:r w:rsidRPr="00226B32">
        <w:rPr>
          <w:sz w:val="28"/>
          <w:szCs w:val="28"/>
        </w:rPr>
        <w:t>et</w:t>
      </w:r>
      <w:proofErr w:type="gramEnd"/>
      <w:r w:rsidRPr="00226B32">
        <w:rPr>
          <w:sz w:val="28"/>
          <w:szCs w:val="28"/>
        </w:rPr>
        <w:t xml:space="preserve">. </w:t>
      </w:r>
      <w:proofErr w:type="gramStart"/>
      <w:r w:rsidRPr="00226B32">
        <w:rPr>
          <w:sz w:val="28"/>
          <w:szCs w:val="28"/>
        </w:rPr>
        <w:t>al</w:t>
      </w:r>
      <w:proofErr w:type="gramEnd"/>
      <w:r w:rsidRPr="00226B32">
        <w:rPr>
          <w:sz w:val="28"/>
          <w:szCs w:val="28"/>
        </w:rPr>
        <w:t>, (2015) developed a new troposph</w:t>
      </w:r>
      <w:r w:rsidR="004E4168">
        <w:rPr>
          <w:sz w:val="28"/>
          <w:szCs w:val="28"/>
        </w:rPr>
        <w:t>eric delay model for Egypt</w:t>
      </w:r>
      <w:r w:rsidRPr="00226B32">
        <w:rPr>
          <w:sz w:val="28"/>
          <w:szCs w:val="28"/>
        </w:rPr>
        <w:t xml:space="preserve">. </w:t>
      </w:r>
      <w:r w:rsidR="004E4168">
        <w:rPr>
          <w:sz w:val="28"/>
          <w:szCs w:val="28"/>
        </w:rPr>
        <w:t>From this model</w:t>
      </w:r>
      <w:r w:rsidR="004F64ED" w:rsidRPr="00226B32">
        <w:rPr>
          <w:sz w:val="28"/>
          <w:szCs w:val="28"/>
        </w:rPr>
        <w:t xml:space="preserve">, </w:t>
      </w:r>
      <w:r w:rsidRPr="00226B32">
        <w:rPr>
          <w:sz w:val="28"/>
          <w:szCs w:val="28"/>
        </w:rPr>
        <w:t xml:space="preserve">slant delay zenith angle </w:t>
      </w:r>
      <w:r w:rsidR="004F64ED" w:rsidRPr="00226B32">
        <w:rPr>
          <w:sz w:val="28"/>
          <w:szCs w:val="28"/>
        </w:rPr>
        <w:t>88°. Tropospheric delay at zenith is also computed to be able to separate the PTD mapping function. The data were processed at three days per month in year 2014 - and for 36 stations from Latitude 22° to 32° with interval 2° and from Longitude 25° to 35° with interval 2°.</w:t>
      </w:r>
    </w:p>
    <w:p w:rsidR="00E73185" w:rsidRPr="005C5047" w:rsidRDefault="00B35A67" w:rsidP="000E0F4D">
      <w:pPr>
        <w:autoSpaceDE w:val="0"/>
        <w:autoSpaceDN w:val="0"/>
        <w:bidi w:val="0"/>
        <w:adjustRightInd w:val="0"/>
        <w:spacing w:line="360" w:lineRule="auto"/>
        <w:ind w:firstLine="720"/>
        <w:jc w:val="both"/>
        <w:rPr>
          <w:sz w:val="28"/>
          <w:szCs w:val="28"/>
        </w:rPr>
      </w:pPr>
      <w:r>
        <w:rPr>
          <w:sz w:val="28"/>
          <w:szCs w:val="28"/>
        </w:rPr>
        <w:lastRenderedPageBreak/>
        <w:t>The methodology of these paper using the following sequence:</w:t>
      </w:r>
      <w:r w:rsidR="005C5047">
        <w:rPr>
          <w:sz w:val="28"/>
          <w:szCs w:val="28"/>
        </w:rPr>
        <w:t xml:space="preserve"> First, </w:t>
      </w:r>
      <w:r w:rsidR="00E73185">
        <w:rPr>
          <w:sz w:val="28"/>
          <w:szCs w:val="28"/>
        </w:rPr>
        <w:t xml:space="preserve">The </w:t>
      </w:r>
      <w:r>
        <w:rPr>
          <w:sz w:val="28"/>
          <w:szCs w:val="28"/>
        </w:rPr>
        <w:t>outputs</w:t>
      </w:r>
      <w:r w:rsidR="00E73185">
        <w:rPr>
          <w:sz w:val="28"/>
          <w:szCs w:val="28"/>
        </w:rPr>
        <w:t xml:space="preserve"> of PTD</w:t>
      </w:r>
      <w:r w:rsidR="00E63B3F">
        <w:rPr>
          <w:sz w:val="28"/>
          <w:szCs w:val="28"/>
        </w:rPr>
        <w:t xml:space="preserve"> database</w:t>
      </w:r>
      <w:r w:rsidR="00E73185">
        <w:rPr>
          <w:sz w:val="28"/>
          <w:szCs w:val="28"/>
        </w:rPr>
        <w:t xml:space="preserve"> are dry and wet slant delay. The zenith delay can be available at zenith direction. The ration between slant delay and zenith delay is called mapping function. These process were repeated with different azimuth angels (0</w:t>
      </w:r>
      <w:r w:rsidR="00E73185">
        <w:rPr>
          <w:rFonts w:ascii="Calibri" w:hAnsi="Calibri"/>
          <w:sz w:val="28"/>
          <w:szCs w:val="28"/>
        </w:rPr>
        <w:t>⁰</w:t>
      </w:r>
      <w:r w:rsidR="00E73185">
        <w:rPr>
          <w:sz w:val="28"/>
          <w:szCs w:val="28"/>
        </w:rPr>
        <w:t>, 45</w:t>
      </w:r>
      <w:r w:rsidR="00E73185">
        <w:rPr>
          <w:rFonts w:ascii="Calibri" w:hAnsi="Calibri"/>
          <w:sz w:val="28"/>
          <w:szCs w:val="28"/>
        </w:rPr>
        <w:t>⁰</w:t>
      </w:r>
      <w:r w:rsidR="00E73185">
        <w:rPr>
          <w:sz w:val="28"/>
          <w:szCs w:val="28"/>
        </w:rPr>
        <w:t>, 90</w:t>
      </w:r>
      <w:r w:rsidR="00E73185">
        <w:rPr>
          <w:rFonts w:ascii="Calibri" w:hAnsi="Calibri"/>
          <w:sz w:val="28"/>
          <w:szCs w:val="28"/>
        </w:rPr>
        <w:t>⁰</w:t>
      </w:r>
      <w:r w:rsidR="00E73185">
        <w:rPr>
          <w:sz w:val="28"/>
          <w:szCs w:val="28"/>
        </w:rPr>
        <w:t>, 135</w:t>
      </w:r>
      <w:r w:rsidR="00E73185">
        <w:rPr>
          <w:rFonts w:ascii="Calibri" w:hAnsi="Calibri"/>
          <w:sz w:val="28"/>
          <w:szCs w:val="28"/>
        </w:rPr>
        <w:t>⁰</w:t>
      </w:r>
      <w:r w:rsidR="00E73185">
        <w:rPr>
          <w:sz w:val="28"/>
          <w:szCs w:val="28"/>
        </w:rPr>
        <w:t>, 180</w:t>
      </w:r>
      <w:r w:rsidR="00E73185">
        <w:rPr>
          <w:rFonts w:ascii="Calibri" w:hAnsi="Calibri"/>
          <w:sz w:val="28"/>
          <w:szCs w:val="28"/>
        </w:rPr>
        <w:t>⁰</w:t>
      </w:r>
      <w:r w:rsidR="00E73185">
        <w:rPr>
          <w:sz w:val="28"/>
          <w:szCs w:val="28"/>
        </w:rPr>
        <w:t>, 225</w:t>
      </w:r>
      <w:r w:rsidR="00E73185">
        <w:rPr>
          <w:rFonts w:ascii="Calibri" w:hAnsi="Calibri"/>
          <w:sz w:val="28"/>
          <w:szCs w:val="28"/>
        </w:rPr>
        <w:t>⁰</w:t>
      </w:r>
      <w:r w:rsidR="00E73185">
        <w:rPr>
          <w:sz w:val="28"/>
          <w:szCs w:val="28"/>
        </w:rPr>
        <w:t>, 270</w:t>
      </w:r>
      <w:r w:rsidR="00E73185">
        <w:rPr>
          <w:rFonts w:ascii="Calibri" w:hAnsi="Calibri"/>
          <w:sz w:val="28"/>
          <w:szCs w:val="28"/>
        </w:rPr>
        <w:t>⁰</w:t>
      </w:r>
      <w:r w:rsidR="00E73185">
        <w:rPr>
          <w:sz w:val="28"/>
          <w:szCs w:val="28"/>
        </w:rPr>
        <w:t xml:space="preserve"> and 315</w:t>
      </w:r>
      <w:r w:rsidR="00E73185">
        <w:rPr>
          <w:rFonts w:ascii="Calibri" w:hAnsi="Calibri"/>
          <w:sz w:val="28"/>
          <w:szCs w:val="28"/>
        </w:rPr>
        <w:t>⁰</w:t>
      </w:r>
      <w:r w:rsidR="00E73185">
        <w:rPr>
          <w:sz w:val="28"/>
          <w:szCs w:val="28"/>
        </w:rPr>
        <w:t>).</w:t>
      </w:r>
      <w:r>
        <w:rPr>
          <w:sz w:val="28"/>
          <w:szCs w:val="28"/>
        </w:rPr>
        <w:t xml:space="preserve"> Finally, the azimuthal asymmetric were computed for climatic months and latitudes.</w:t>
      </w:r>
      <w:r w:rsidR="000E0F4D">
        <w:rPr>
          <w:sz w:val="28"/>
          <w:szCs w:val="28"/>
        </w:rPr>
        <w:t xml:space="preserve"> The analysis were done at year 2014 three days every month.</w:t>
      </w:r>
    </w:p>
    <w:p w:rsidR="004F64ED" w:rsidRPr="009A5EAD" w:rsidRDefault="004F64ED" w:rsidP="00B35A67">
      <w:pPr>
        <w:widowControl w:val="0"/>
        <w:autoSpaceDE w:val="0"/>
        <w:autoSpaceDN w:val="0"/>
        <w:bidi w:val="0"/>
        <w:adjustRightInd w:val="0"/>
        <w:spacing w:line="360" w:lineRule="auto"/>
        <w:ind w:firstLine="720"/>
        <w:jc w:val="both"/>
        <w:rPr>
          <w:sz w:val="28"/>
          <w:szCs w:val="28"/>
        </w:rPr>
      </w:pPr>
    </w:p>
    <w:p w:rsidR="00302E58" w:rsidRPr="00302E58" w:rsidRDefault="00302E58" w:rsidP="00B35A67">
      <w:pPr>
        <w:pStyle w:val="ListParagraph"/>
        <w:numPr>
          <w:ilvl w:val="0"/>
          <w:numId w:val="14"/>
        </w:numPr>
        <w:autoSpaceDE w:val="0"/>
        <w:autoSpaceDN w:val="0"/>
        <w:bidi w:val="0"/>
        <w:adjustRightInd w:val="0"/>
        <w:spacing w:line="360" w:lineRule="auto"/>
        <w:jc w:val="both"/>
        <w:rPr>
          <w:b/>
          <w:bCs/>
          <w:color w:val="000000" w:themeColor="text1"/>
          <w:sz w:val="28"/>
          <w:szCs w:val="28"/>
        </w:rPr>
      </w:pPr>
      <w:r w:rsidRPr="00302E58">
        <w:rPr>
          <w:b/>
          <w:bCs/>
          <w:color w:val="000000" w:themeColor="text1"/>
          <w:sz w:val="28"/>
          <w:szCs w:val="28"/>
        </w:rPr>
        <w:t>Gradient Mapping Function</w:t>
      </w:r>
    </w:p>
    <w:p w:rsidR="00302E58" w:rsidRPr="00302E58" w:rsidRDefault="00846FB2" w:rsidP="00B35A67">
      <w:pPr>
        <w:autoSpaceDE w:val="0"/>
        <w:autoSpaceDN w:val="0"/>
        <w:bidi w:val="0"/>
        <w:adjustRightInd w:val="0"/>
        <w:spacing w:line="360" w:lineRule="auto"/>
        <w:ind w:firstLine="360"/>
        <w:jc w:val="both"/>
        <w:rPr>
          <w:color w:val="000000" w:themeColor="text1"/>
          <w:sz w:val="28"/>
          <w:szCs w:val="28"/>
        </w:rPr>
      </w:pPr>
      <w:r w:rsidRPr="00846FB2">
        <w:rPr>
          <w:color w:val="000000" w:themeColor="text1"/>
          <w:sz w:val="28"/>
          <w:szCs w:val="28"/>
        </w:rPr>
        <w:t xml:space="preserve">The elevation-dependent or mapping function is not only the </w:t>
      </w:r>
      <w:r w:rsidR="00B35A67" w:rsidRPr="00846FB2">
        <w:rPr>
          <w:color w:val="000000" w:themeColor="text1"/>
          <w:sz w:val="28"/>
          <w:szCs w:val="28"/>
        </w:rPr>
        <w:t>unique</w:t>
      </w:r>
      <w:r w:rsidRPr="00846FB2">
        <w:rPr>
          <w:color w:val="000000" w:themeColor="text1"/>
          <w:sz w:val="28"/>
          <w:szCs w:val="28"/>
        </w:rPr>
        <w:t xml:space="preserve"> parameter to compute slant delay. The </w:t>
      </w:r>
      <w:r w:rsidR="00302E58" w:rsidRPr="00846FB2">
        <w:rPr>
          <w:color w:val="000000" w:themeColor="text1"/>
          <w:sz w:val="28"/>
          <w:szCs w:val="28"/>
        </w:rPr>
        <w:t xml:space="preserve">azimuthal asymmetry </w:t>
      </w:r>
      <w:r w:rsidR="00723DDF" w:rsidRPr="00846FB2">
        <w:rPr>
          <w:color w:val="000000" w:themeColor="text1"/>
          <w:sz w:val="28"/>
          <w:szCs w:val="28"/>
        </w:rPr>
        <w:t xml:space="preserve">must be accounted </w:t>
      </w:r>
      <w:r w:rsidRPr="00846FB2">
        <w:rPr>
          <w:color w:val="000000" w:themeColor="text1"/>
          <w:sz w:val="28"/>
          <w:szCs w:val="28"/>
        </w:rPr>
        <w:t>to cover</w:t>
      </w:r>
      <w:r w:rsidR="00226B32" w:rsidRPr="00846FB2">
        <w:rPr>
          <w:color w:val="000000" w:themeColor="text1"/>
          <w:sz w:val="28"/>
          <w:szCs w:val="28"/>
        </w:rPr>
        <w:t xml:space="preserve"> these asymmetries (</w:t>
      </w:r>
      <w:proofErr w:type="spellStart"/>
      <w:r w:rsidR="00226B32" w:rsidRPr="00846FB2">
        <w:rPr>
          <w:color w:val="000000" w:themeColor="text1"/>
          <w:sz w:val="28"/>
          <w:szCs w:val="28"/>
        </w:rPr>
        <w:t>Meindl</w:t>
      </w:r>
      <w:proofErr w:type="spellEnd"/>
      <w:r w:rsidR="00226B32" w:rsidRPr="00846FB2">
        <w:rPr>
          <w:color w:val="000000" w:themeColor="text1"/>
          <w:sz w:val="28"/>
          <w:szCs w:val="28"/>
        </w:rPr>
        <w:t xml:space="preserve"> et al., 2004)</w:t>
      </w:r>
      <w:r w:rsidR="00302E58" w:rsidRPr="00846FB2">
        <w:rPr>
          <w:color w:val="000000" w:themeColor="text1"/>
          <w:sz w:val="28"/>
          <w:szCs w:val="28"/>
        </w:rPr>
        <w:t>. The gradient mapping functions are given as (IERS, 2010):</w:t>
      </w:r>
    </w:p>
    <w:p w:rsidR="00302E58" w:rsidRPr="00302E58" w:rsidRDefault="00302E58" w:rsidP="00B35A67">
      <w:pPr>
        <w:pStyle w:val="ListParagraph"/>
        <w:autoSpaceDE w:val="0"/>
        <w:autoSpaceDN w:val="0"/>
        <w:bidi w:val="0"/>
        <w:adjustRightInd w:val="0"/>
        <w:spacing w:line="360" w:lineRule="auto"/>
        <w:jc w:val="both"/>
        <w:rPr>
          <w:color w:val="000000" w:themeColor="text1"/>
          <w:sz w:val="28"/>
          <w:szCs w:val="28"/>
        </w:rPr>
      </w:pPr>
      <w:r w:rsidRPr="0013583C">
        <w:object w:dxaOrig="324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21.75pt" o:ole="">
            <v:imagedata r:id="rId8" o:title=""/>
          </v:shape>
          <o:OLEObject Type="Embed" ProgID="Equation.3" ShapeID="_x0000_i1025" DrawAspect="Content" ObjectID="_1567139538" r:id="rId9"/>
        </w:object>
      </w:r>
      <w:r w:rsidRPr="00302E58">
        <w:rPr>
          <w:color w:val="000000" w:themeColor="text1"/>
          <w:sz w:val="28"/>
          <w:szCs w:val="28"/>
        </w:rPr>
        <w:t xml:space="preserve">                                                                  (</w:t>
      </w:r>
      <w:r w:rsidR="008144F5">
        <w:rPr>
          <w:color w:val="000000" w:themeColor="text1"/>
          <w:sz w:val="28"/>
          <w:szCs w:val="28"/>
        </w:rPr>
        <w:t>1</w:t>
      </w:r>
      <w:r w:rsidRPr="00302E58">
        <w:rPr>
          <w:color w:val="000000" w:themeColor="text1"/>
          <w:sz w:val="28"/>
          <w:szCs w:val="28"/>
        </w:rPr>
        <w:t>)</w:t>
      </w:r>
    </w:p>
    <w:p w:rsidR="008144F5" w:rsidRDefault="00302E58" w:rsidP="00B35A67">
      <w:pPr>
        <w:pStyle w:val="ListParagraph"/>
        <w:autoSpaceDE w:val="0"/>
        <w:autoSpaceDN w:val="0"/>
        <w:bidi w:val="0"/>
        <w:adjustRightInd w:val="0"/>
        <w:spacing w:line="360" w:lineRule="auto"/>
        <w:jc w:val="both"/>
        <w:rPr>
          <w:color w:val="000000" w:themeColor="text1"/>
          <w:sz w:val="28"/>
          <w:szCs w:val="28"/>
        </w:rPr>
      </w:pPr>
      <w:r w:rsidRPr="0013583C">
        <w:rPr>
          <w:position w:val="-28"/>
        </w:rPr>
        <w:object w:dxaOrig="2860" w:dyaOrig="660">
          <v:shape id="_x0000_i1026" type="#_x0000_t75" style="width:165.75pt;height:36pt" o:ole="">
            <v:imagedata r:id="rId10" o:title=""/>
          </v:shape>
          <o:OLEObject Type="Embed" ProgID="Equation.3" ShapeID="_x0000_i1026" DrawAspect="Content" ObjectID="_1567139539" r:id="rId11"/>
        </w:object>
      </w:r>
      <w:r w:rsidRPr="00302E58">
        <w:rPr>
          <w:color w:val="000000" w:themeColor="text1"/>
          <w:sz w:val="28"/>
          <w:szCs w:val="28"/>
        </w:rPr>
        <w:t xml:space="preserve">                                                                  (</w:t>
      </w:r>
      <w:r w:rsidR="008144F5">
        <w:rPr>
          <w:color w:val="000000" w:themeColor="text1"/>
          <w:sz w:val="28"/>
          <w:szCs w:val="28"/>
        </w:rPr>
        <w:t>2</w:t>
      </w:r>
      <w:r w:rsidRPr="00302E58">
        <w:rPr>
          <w:color w:val="000000" w:themeColor="text1"/>
          <w:sz w:val="28"/>
          <w:szCs w:val="28"/>
        </w:rPr>
        <w:t>)</w:t>
      </w:r>
    </w:p>
    <w:p w:rsidR="00302E58" w:rsidRPr="008144F5" w:rsidRDefault="00302E58" w:rsidP="00B35A67">
      <w:pPr>
        <w:widowControl w:val="0"/>
        <w:autoSpaceDE w:val="0"/>
        <w:autoSpaceDN w:val="0"/>
        <w:bidi w:val="0"/>
        <w:adjustRightInd w:val="0"/>
        <w:spacing w:line="360" w:lineRule="auto"/>
        <w:ind w:firstLine="360"/>
        <w:jc w:val="both"/>
        <w:rPr>
          <w:color w:val="000000" w:themeColor="text1"/>
          <w:sz w:val="28"/>
          <w:szCs w:val="28"/>
        </w:rPr>
      </w:pPr>
      <w:r w:rsidRPr="008144F5">
        <w:rPr>
          <w:color w:val="000000" w:themeColor="text1"/>
          <w:sz w:val="28"/>
          <w:szCs w:val="28"/>
        </w:rPr>
        <w:t>Where: G</w:t>
      </w:r>
      <w:r w:rsidRPr="008144F5">
        <w:rPr>
          <w:color w:val="000000" w:themeColor="text1"/>
          <w:sz w:val="28"/>
          <w:szCs w:val="28"/>
          <w:vertAlign w:val="subscript"/>
        </w:rPr>
        <w:t>N</w:t>
      </w:r>
      <w:r w:rsidRPr="008144F5">
        <w:rPr>
          <w:color w:val="000000" w:themeColor="text1"/>
          <w:sz w:val="28"/>
          <w:szCs w:val="28"/>
        </w:rPr>
        <w:t xml:space="preserve"> and G</w:t>
      </w:r>
      <w:r w:rsidRPr="008144F5">
        <w:rPr>
          <w:color w:val="000000" w:themeColor="text1"/>
          <w:sz w:val="28"/>
          <w:szCs w:val="28"/>
          <w:vertAlign w:val="subscript"/>
        </w:rPr>
        <w:t>E</w:t>
      </w:r>
      <w:r w:rsidRPr="008144F5">
        <w:rPr>
          <w:color w:val="000000" w:themeColor="text1"/>
          <w:sz w:val="28"/>
          <w:szCs w:val="28"/>
        </w:rPr>
        <w:t xml:space="preserve"> are the northern and eastern horizontal delay gradients, respectively. </w:t>
      </w:r>
      <w:proofErr w:type="gramStart"/>
      <w:r w:rsidRPr="008144F5">
        <w:rPr>
          <w:color w:val="000000" w:themeColor="text1"/>
          <w:sz w:val="28"/>
          <w:szCs w:val="28"/>
        </w:rPr>
        <w:t>α</w:t>
      </w:r>
      <w:proofErr w:type="gramEnd"/>
      <w:r w:rsidRPr="008144F5">
        <w:rPr>
          <w:color w:val="000000" w:themeColor="text1"/>
          <w:sz w:val="28"/>
          <w:szCs w:val="28"/>
        </w:rPr>
        <w:t xml:space="preserve"> and E are the satellite azimuth and elevation angle, respectively. M</w:t>
      </w:r>
      <w:r w:rsidRPr="008144F5">
        <w:rPr>
          <w:color w:val="000000" w:themeColor="text1"/>
          <w:sz w:val="28"/>
          <w:szCs w:val="28"/>
          <w:vertAlign w:val="subscript"/>
        </w:rPr>
        <w:t>g</w:t>
      </w:r>
      <w:r w:rsidRPr="008144F5">
        <w:rPr>
          <w:color w:val="000000" w:themeColor="text1"/>
          <w:sz w:val="28"/>
          <w:szCs w:val="28"/>
        </w:rPr>
        <w:t xml:space="preserve"> is the tropospheric gradient mapping function.</w:t>
      </w:r>
    </w:p>
    <w:p w:rsidR="00302E58" w:rsidRPr="00302E58" w:rsidRDefault="00302E58" w:rsidP="00B35A67">
      <w:pPr>
        <w:widowControl w:val="0"/>
        <w:autoSpaceDE w:val="0"/>
        <w:autoSpaceDN w:val="0"/>
        <w:bidi w:val="0"/>
        <w:adjustRightInd w:val="0"/>
        <w:spacing w:line="360" w:lineRule="auto"/>
        <w:ind w:firstLine="360"/>
        <w:jc w:val="both"/>
        <w:rPr>
          <w:color w:val="000000" w:themeColor="text1"/>
          <w:sz w:val="28"/>
          <w:szCs w:val="28"/>
        </w:rPr>
      </w:pPr>
      <w:r w:rsidRPr="00302E58">
        <w:rPr>
          <w:color w:val="000000" w:themeColor="text1"/>
          <w:sz w:val="28"/>
          <w:szCs w:val="28"/>
        </w:rPr>
        <w:t xml:space="preserve">Tilting the zenith direction in the mapping function by a small angle β may represent a tropospheric gradient (e.g. </w:t>
      </w:r>
      <w:proofErr w:type="spellStart"/>
      <w:r w:rsidRPr="00302E58">
        <w:rPr>
          <w:color w:val="000000" w:themeColor="text1"/>
          <w:sz w:val="28"/>
          <w:szCs w:val="28"/>
          <w:lang w:bidi="ar-EG"/>
        </w:rPr>
        <w:t>Abdelfatah</w:t>
      </w:r>
      <w:proofErr w:type="spellEnd"/>
      <w:r w:rsidR="00C04141">
        <w:rPr>
          <w:color w:val="000000" w:themeColor="text1"/>
          <w:sz w:val="28"/>
          <w:szCs w:val="28"/>
          <w:lang w:bidi="ar-EG"/>
        </w:rPr>
        <w:t xml:space="preserve"> </w:t>
      </w:r>
      <w:r w:rsidRPr="00302E58">
        <w:rPr>
          <w:color w:val="000000" w:themeColor="text1"/>
          <w:sz w:val="28"/>
          <w:szCs w:val="28"/>
        </w:rPr>
        <w:t>et al., 2009). The geometry of tilting the zenith directi</w:t>
      </w:r>
      <w:r w:rsidR="008144F5">
        <w:rPr>
          <w:color w:val="000000" w:themeColor="text1"/>
          <w:sz w:val="28"/>
          <w:szCs w:val="28"/>
        </w:rPr>
        <w:t>on is represented in figure (1</w:t>
      </w:r>
      <w:r w:rsidRPr="00302E58">
        <w:rPr>
          <w:color w:val="000000" w:themeColor="text1"/>
          <w:sz w:val="28"/>
          <w:szCs w:val="28"/>
        </w:rPr>
        <w:t>). In this figure the tropospheric zenith is defined as normal to the tilted atmosphere while the geometric zenith is defined as normal to the symmetric atmosphere. Based on the representation in figure (</w:t>
      </w:r>
      <w:r w:rsidR="00EC76B0">
        <w:rPr>
          <w:color w:val="000000" w:themeColor="text1"/>
          <w:sz w:val="28"/>
          <w:szCs w:val="28"/>
        </w:rPr>
        <w:t>1</w:t>
      </w:r>
      <w:r w:rsidRPr="00302E58">
        <w:rPr>
          <w:color w:val="000000" w:themeColor="text1"/>
          <w:sz w:val="28"/>
          <w:szCs w:val="28"/>
        </w:rPr>
        <w:t>) and according to the first spherical law of cosines, equation (</w:t>
      </w:r>
      <w:r w:rsidR="008144F5">
        <w:rPr>
          <w:color w:val="000000" w:themeColor="text1"/>
          <w:sz w:val="28"/>
          <w:szCs w:val="28"/>
        </w:rPr>
        <w:t>3</w:t>
      </w:r>
      <w:r w:rsidRPr="00302E58">
        <w:rPr>
          <w:color w:val="000000" w:themeColor="text1"/>
          <w:sz w:val="28"/>
          <w:szCs w:val="28"/>
        </w:rPr>
        <w:t xml:space="preserve">) may be written (see e.g. </w:t>
      </w:r>
      <w:proofErr w:type="spellStart"/>
      <w:r w:rsidRPr="00302E58">
        <w:rPr>
          <w:color w:val="000000" w:themeColor="text1"/>
          <w:sz w:val="28"/>
          <w:szCs w:val="28"/>
        </w:rPr>
        <w:t>Meindl</w:t>
      </w:r>
      <w:proofErr w:type="spellEnd"/>
      <w:r w:rsidRPr="00302E58">
        <w:rPr>
          <w:color w:val="000000" w:themeColor="text1"/>
          <w:sz w:val="28"/>
          <w:szCs w:val="28"/>
        </w:rPr>
        <w:t xml:space="preserve"> et al. 2004).</w:t>
      </w:r>
    </w:p>
    <w:p w:rsidR="00302E58" w:rsidRPr="00302E58" w:rsidRDefault="00302E58" w:rsidP="00B35A67">
      <w:pPr>
        <w:widowControl w:val="0"/>
        <w:autoSpaceDE w:val="0"/>
        <w:autoSpaceDN w:val="0"/>
        <w:bidi w:val="0"/>
        <w:adjustRightInd w:val="0"/>
        <w:spacing w:line="360" w:lineRule="auto"/>
        <w:ind w:left="360"/>
        <w:jc w:val="both"/>
        <w:rPr>
          <w:color w:val="000000" w:themeColor="text1"/>
          <w:sz w:val="28"/>
          <w:szCs w:val="28"/>
        </w:rPr>
      </w:pPr>
      <w:proofErr w:type="gramStart"/>
      <w:r w:rsidRPr="00302E58">
        <w:rPr>
          <w:color w:val="000000" w:themeColor="text1"/>
          <w:sz w:val="28"/>
          <w:szCs w:val="28"/>
        </w:rPr>
        <w:t>cos</w:t>
      </w:r>
      <w:proofErr w:type="gramEnd"/>
      <w:r w:rsidRPr="00302E58">
        <w:rPr>
          <w:color w:val="000000" w:themeColor="text1"/>
          <w:sz w:val="28"/>
          <w:szCs w:val="28"/>
        </w:rPr>
        <w:t xml:space="preserve"> Ž= cos β cos z </w:t>
      </w:r>
      <w:r w:rsidRPr="00302E58">
        <w:rPr>
          <w:color w:val="000000" w:themeColor="text1"/>
          <w:sz w:val="28"/>
          <w:szCs w:val="28"/>
          <w:rtl/>
        </w:rPr>
        <w:t>‏</w:t>
      </w:r>
      <w:r w:rsidRPr="00302E58">
        <w:rPr>
          <w:color w:val="000000" w:themeColor="text1"/>
          <w:sz w:val="28"/>
          <w:szCs w:val="28"/>
        </w:rPr>
        <w:t>+sin β sin z cos (A -A</w:t>
      </w:r>
      <w:r w:rsidRPr="00302E58">
        <w:rPr>
          <w:color w:val="000000" w:themeColor="text1"/>
          <w:sz w:val="28"/>
          <w:szCs w:val="28"/>
          <w:vertAlign w:val="subscript"/>
        </w:rPr>
        <w:t>0</w:t>
      </w:r>
      <w:r w:rsidRPr="00302E58">
        <w:rPr>
          <w:color w:val="000000" w:themeColor="text1"/>
          <w:sz w:val="28"/>
          <w:szCs w:val="28"/>
        </w:rPr>
        <w:t xml:space="preserve"> )                                                   (</w:t>
      </w:r>
      <w:r w:rsidR="008144F5">
        <w:rPr>
          <w:color w:val="000000" w:themeColor="text1"/>
          <w:sz w:val="28"/>
          <w:szCs w:val="28"/>
        </w:rPr>
        <w:t>3</w:t>
      </w:r>
      <w:r w:rsidRPr="00302E58">
        <w:rPr>
          <w:color w:val="000000" w:themeColor="text1"/>
          <w:sz w:val="28"/>
          <w:szCs w:val="28"/>
        </w:rPr>
        <w:t>)</w:t>
      </w:r>
    </w:p>
    <w:p w:rsidR="00302E58" w:rsidRPr="00302E58" w:rsidRDefault="00302E58" w:rsidP="00B35A67">
      <w:pPr>
        <w:autoSpaceDE w:val="0"/>
        <w:autoSpaceDN w:val="0"/>
        <w:bidi w:val="0"/>
        <w:adjustRightInd w:val="0"/>
        <w:spacing w:line="360" w:lineRule="auto"/>
        <w:ind w:firstLine="360"/>
        <w:jc w:val="both"/>
        <w:rPr>
          <w:color w:val="000000" w:themeColor="text1"/>
          <w:sz w:val="28"/>
          <w:szCs w:val="28"/>
        </w:rPr>
      </w:pPr>
      <w:r w:rsidRPr="00302E58">
        <w:rPr>
          <w:color w:val="000000" w:themeColor="text1"/>
          <w:sz w:val="28"/>
          <w:szCs w:val="28"/>
        </w:rPr>
        <w:lastRenderedPageBreak/>
        <w:t>Where A denotes the azimuth of the observation and A</w:t>
      </w:r>
      <w:r w:rsidRPr="00302E58">
        <w:rPr>
          <w:color w:val="000000" w:themeColor="text1"/>
          <w:sz w:val="28"/>
          <w:szCs w:val="28"/>
          <w:vertAlign w:val="subscript"/>
        </w:rPr>
        <w:t>0</w:t>
      </w:r>
      <w:r w:rsidRPr="00302E58">
        <w:rPr>
          <w:color w:val="000000" w:themeColor="text1"/>
          <w:sz w:val="28"/>
          <w:szCs w:val="28"/>
        </w:rPr>
        <w:t xml:space="preserve"> represents the azimuth of the tropospheric zenith direction Ž with respect to the geometric zenith direction Z, and Ž was used as the zenith parameter in mapping function.</w:t>
      </w:r>
    </w:p>
    <w:p w:rsidR="00302E58" w:rsidRPr="00302E58" w:rsidRDefault="00302E58" w:rsidP="00B35A67">
      <w:pPr>
        <w:autoSpaceDE w:val="0"/>
        <w:autoSpaceDN w:val="0"/>
        <w:bidi w:val="0"/>
        <w:adjustRightInd w:val="0"/>
        <w:spacing w:line="360" w:lineRule="auto"/>
        <w:jc w:val="both"/>
        <w:rPr>
          <w:color w:val="000000" w:themeColor="text1"/>
          <w:sz w:val="28"/>
          <w:szCs w:val="28"/>
        </w:rPr>
      </w:pPr>
      <w:r w:rsidRPr="00302E58">
        <w:rPr>
          <w:color w:val="000000" w:themeColor="text1"/>
          <w:sz w:val="28"/>
          <w:szCs w:val="28"/>
        </w:rPr>
        <w:t>Since β and (Ž-Z) are small. The above equations may be written (</w:t>
      </w:r>
      <w:proofErr w:type="spellStart"/>
      <w:r w:rsidRPr="00302E58">
        <w:rPr>
          <w:color w:val="000000" w:themeColor="text1"/>
          <w:sz w:val="28"/>
          <w:szCs w:val="28"/>
          <w:lang w:bidi="ar-EG"/>
        </w:rPr>
        <w:t>Dach</w:t>
      </w:r>
      <w:proofErr w:type="spellEnd"/>
      <w:r w:rsidRPr="00302E58">
        <w:rPr>
          <w:color w:val="000000" w:themeColor="text1"/>
          <w:sz w:val="28"/>
          <w:szCs w:val="28"/>
        </w:rPr>
        <w:t xml:space="preserve"> et al., 2007):</w:t>
      </w:r>
    </w:p>
    <w:p w:rsidR="00302E58" w:rsidRPr="00302E58" w:rsidRDefault="00302E58" w:rsidP="00B35A67">
      <w:pPr>
        <w:pStyle w:val="ListParagraph"/>
        <w:autoSpaceDE w:val="0"/>
        <w:autoSpaceDN w:val="0"/>
        <w:bidi w:val="0"/>
        <w:adjustRightInd w:val="0"/>
        <w:spacing w:line="360" w:lineRule="auto"/>
        <w:jc w:val="both"/>
        <w:rPr>
          <w:color w:val="000000" w:themeColor="text1"/>
          <w:sz w:val="28"/>
          <w:szCs w:val="28"/>
        </w:rPr>
      </w:pPr>
      <m:oMath>
        <m:r>
          <m:rPr>
            <m:sty m:val="p"/>
          </m:rPr>
          <w:rPr>
            <w:rFonts w:ascii="Cambria Math" w:hAnsi="Cambria Math"/>
            <w:color w:val="000000" w:themeColor="text1"/>
            <w:sz w:val="28"/>
            <w:szCs w:val="28"/>
          </w:rPr>
          <m:t>Ž</m:t>
        </m:r>
        <m:r>
          <w:rPr>
            <w:rFonts w:ascii="Cambria Math" w:hAnsi="Cambria Math"/>
            <w:color w:val="000000" w:themeColor="text1"/>
            <w:sz w:val="28"/>
            <w:szCs w:val="28"/>
          </w:rPr>
          <m:t>=Z-β</m:t>
        </m:r>
        <m:func>
          <m:funcPr>
            <m:ctrlPr>
              <w:rPr>
                <w:rFonts w:ascii="Cambria Math" w:hAnsi="Cambria Math"/>
                <w:i/>
                <w:color w:val="000000" w:themeColor="text1"/>
                <w:sz w:val="28"/>
                <w:szCs w:val="28"/>
              </w:rPr>
            </m:ctrlPr>
          </m:funcPr>
          <m:fName>
            <m:r>
              <m:rPr>
                <m:sty m:val="p"/>
              </m:rPr>
              <w:rPr>
                <w:rFonts w:ascii="Cambria Math" w:hAnsi="Cambria Math"/>
                <w:color w:val="000000" w:themeColor="text1"/>
                <w:sz w:val="28"/>
                <w:szCs w:val="28"/>
              </w:rPr>
              <m:t>cos</m:t>
            </m:r>
          </m:fName>
          <m:e>
            <m:d>
              <m:dPr>
                <m:ctrlPr>
                  <w:rPr>
                    <w:rFonts w:ascii="Cambria Math" w:hAnsi="Cambria Math"/>
                    <w:i/>
                    <w:color w:val="000000" w:themeColor="text1"/>
                    <w:sz w:val="28"/>
                    <w:szCs w:val="28"/>
                  </w:rPr>
                </m:ctrlPr>
              </m:dPr>
              <m:e>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A</m:t>
                    </m:r>
                  </m:e>
                  <m:sub>
                    <m:r>
                      <w:rPr>
                        <w:rFonts w:ascii="Cambria Math" w:hAnsi="Cambria Math"/>
                        <w:color w:val="000000" w:themeColor="text1"/>
                        <w:sz w:val="28"/>
                        <w:szCs w:val="28"/>
                      </w:rPr>
                      <m:t>0</m:t>
                    </m:r>
                  </m:sub>
                </m:sSub>
              </m:e>
            </m:d>
            <m:func>
              <m:funcPr>
                <m:ctrlPr>
                  <w:rPr>
                    <w:rFonts w:ascii="Cambria Math" w:hAnsi="Cambria Math"/>
                    <w:i/>
                    <w:color w:val="000000" w:themeColor="text1"/>
                    <w:sz w:val="28"/>
                    <w:szCs w:val="28"/>
                  </w:rPr>
                </m:ctrlPr>
              </m:funcPr>
              <m:fName>
                <m:r>
                  <m:rPr>
                    <m:sty m:val="p"/>
                  </m:rPr>
                  <w:rPr>
                    <w:rFonts w:ascii="Cambria Math" w:hAnsi="Cambria Math"/>
                    <w:color w:val="000000" w:themeColor="text1"/>
                    <w:sz w:val="28"/>
                    <w:szCs w:val="28"/>
                  </w:rPr>
                  <m:t>cos</m:t>
                </m:r>
              </m:fName>
              <m:e>
                <m:d>
                  <m:dPr>
                    <m:ctrlPr>
                      <w:rPr>
                        <w:rFonts w:ascii="Cambria Math" w:hAnsi="Cambria Math"/>
                        <w:i/>
                        <w:color w:val="000000" w:themeColor="text1"/>
                        <w:sz w:val="28"/>
                        <w:szCs w:val="28"/>
                      </w:rPr>
                    </m:ctrlPr>
                  </m:dPr>
                  <m:e>
                    <m:r>
                      <w:rPr>
                        <w:rFonts w:ascii="Cambria Math" w:hAnsi="Cambria Math"/>
                        <w:color w:val="000000" w:themeColor="text1"/>
                        <w:sz w:val="28"/>
                        <w:szCs w:val="28"/>
                      </w:rPr>
                      <m:t>A</m:t>
                    </m:r>
                  </m:e>
                </m:d>
              </m:e>
            </m:func>
          </m:e>
        </m:func>
        <m:r>
          <w:rPr>
            <w:rFonts w:ascii="Cambria Math" w:hAnsi="Cambria Math"/>
            <w:color w:val="000000" w:themeColor="text1"/>
            <w:sz w:val="28"/>
            <w:szCs w:val="28"/>
          </w:rPr>
          <m:t>-β</m:t>
        </m:r>
        <m:func>
          <m:funcPr>
            <m:ctrlPr>
              <w:rPr>
                <w:rFonts w:ascii="Cambria Math" w:hAnsi="Cambria Math"/>
                <w:i/>
                <w:color w:val="000000" w:themeColor="text1"/>
                <w:sz w:val="28"/>
                <w:szCs w:val="28"/>
              </w:rPr>
            </m:ctrlPr>
          </m:funcPr>
          <m:fName>
            <m:r>
              <m:rPr>
                <m:sty m:val="p"/>
              </m:rPr>
              <w:rPr>
                <w:rFonts w:ascii="Cambria Math" w:hAnsi="Cambria Math"/>
                <w:color w:val="000000" w:themeColor="text1"/>
                <w:sz w:val="28"/>
                <w:szCs w:val="28"/>
              </w:rPr>
              <m:t>sin</m:t>
            </m:r>
          </m:fName>
          <m:e>
            <m:d>
              <m:dPr>
                <m:ctrlPr>
                  <w:rPr>
                    <w:rFonts w:ascii="Cambria Math" w:hAnsi="Cambria Math"/>
                    <w:i/>
                    <w:color w:val="000000" w:themeColor="text1"/>
                    <w:sz w:val="28"/>
                    <w:szCs w:val="28"/>
                  </w:rPr>
                </m:ctrlPr>
              </m:dPr>
              <m:e>
                <m:sSub>
                  <m:sSubPr>
                    <m:ctrlPr>
                      <w:rPr>
                        <w:rFonts w:ascii="Cambria Math" w:hAnsi="Cambria Math"/>
                        <w:i/>
                        <w:color w:val="000000" w:themeColor="text1"/>
                        <w:sz w:val="28"/>
                        <w:szCs w:val="28"/>
                      </w:rPr>
                    </m:ctrlPr>
                  </m:sSubPr>
                  <m:e>
                    <m:r>
                      <w:rPr>
                        <w:rFonts w:ascii="Cambria Math" w:hAnsi="Cambria Math"/>
                        <w:color w:val="000000" w:themeColor="text1"/>
                        <w:sz w:val="28"/>
                        <w:szCs w:val="28"/>
                      </w:rPr>
                      <m:t>A</m:t>
                    </m:r>
                  </m:e>
                  <m:sub>
                    <m:r>
                      <w:rPr>
                        <w:rFonts w:ascii="Cambria Math" w:hAnsi="Cambria Math"/>
                        <w:color w:val="000000" w:themeColor="text1"/>
                        <w:sz w:val="28"/>
                        <w:szCs w:val="28"/>
                      </w:rPr>
                      <m:t>0</m:t>
                    </m:r>
                  </m:sub>
                </m:sSub>
              </m:e>
            </m:d>
            <m:func>
              <m:funcPr>
                <m:ctrlPr>
                  <w:rPr>
                    <w:rFonts w:ascii="Cambria Math" w:hAnsi="Cambria Math"/>
                    <w:i/>
                    <w:color w:val="000000" w:themeColor="text1"/>
                    <w:sz w:val="28"/>
                    <w:szCs w:val="28"/>
                  </w:rPr>
                </m:ctrlPr>
              </m:funcPr>
              <m:fName>
                <m:r>
                  <m:rPr>
                    <m:sty m:val="p"/>
                  </m:rPr>
                  <w:rPr>
                    <w:rFonts w:ascii="Cambria Math" w:hAnsi="Cambria Math"/>
                    <w:color w:val="000000" w:themeColor="text1"/>
                    <w:sz w:val="28"/>
                    <w:szCs w:val="28"/>
                  </w:rPr>
                  <m:t>sin</m:t>
                </m:r>
              </m:fName>
              <m:e>
                <m:d>
                  <m:dPr>
                    <m:ctrlPr>
                      <w:rPr>
                        <w:rFonts w:ascii="Cambria Math" w:hAnsi="Cambria Math"/>
                        <w:i/>
                        <w:color w:val="000000" w:themeColor="text1"/>
                        <w:sz w:val="28"/>
                        <w:szCs w:val="28"/>
                      </w:rPr>
                    </m:ctrlPr>
                  </m:dPr>
                  <m:e>
                    <m:r>
                      <w:rPr>
                        <w:rFonts w:ascii="Cambria Math" w:hAnsi="Cambria Math"/>
                        <w:color w:val="000000" w:themeColor="text1"/>
                        <w:sz w:val="28"/>
                        <w:szCs w:val="28"/>
                      </w:rPr>
                      <m:t>A</m:t>
                    </m:r>
                  </m:e>
                </m:d>
              </m:e>
            </m:func>
          </m:e>
        </m:func>
      </m:oMath>
      <w:r w:rsidRPr="00302E58">
        <w:rPr>
          <w:color w:val="000000" w:themeColor="text1"/>
          <w:sz w:val="28"/>
          <w:szCs w:val="28"/>
        </w:rPr>
        <w:t xml:space="preserve">                                     (</w:t>
      </w:r>
      <w:r w:rsidR="008144F5">
        <w:rPr>
          <w:color w:val="000000" w:themeColor="text1"/>
          <w:sz w:val="28"/>
          <w:szCs w:val="28"/>
        </w:rPr>
        <w:t>4</w:t>
      </w:r>
      <w:r w:rsidRPr="00302E58">
        <w:rPr>
          <w:color w:val="000000" w:themeColor="text1"/>
          <w:sz w:val="28"/>
          <w:szCs w:val="28"/>
        </w:rPr>
        <w:t>)</w:t>
      </w:r>
    </w:p>
    <w:tbl>
      <w:tblPr>
        <w:tblW w:w="0" w:type="auto"/>
        <w:tblLook w:val="04A0" w:firstRow="1" w:lastRow="0" w:firstColumn="1" w:lastColumn="0" w:noHBand="0" w:noVBand="1"/>
      </w:tblPr>
      <w:tblGrid>
        <w:gridCol w:w="8768"/>
      </w:tblGrid>
      <w:tr w:rsidR="00302E58" w:rsidRPr="0013583C" w:rsidTr="0000640A">
        <w:tc>
          <w:tcPr>
            <w:tcW w:w="8954" w:type="dxa"/>
            <w:shd w:val="clear" w:color="auto" w:fill="auto"/>
          </w:tcPr>
          <w:p w:rsidR="00302E58" w:rsidRPr="0013583C" w:rsidRDefault="004E4168" w:rsidP="00B35A67">
            <w:pPr>
              <w:autoSpaceDE w:val="0"/>
              <w:autoSpaceDN w:val="0"/>
              <w:bidi w:val="0"/>
              <w:adjustRightInd w:val="0"/>
              <w:spacing w:line="360" w:lineRule="auto"/>
              <w:jc w:val="center"/>
              <w:rPr>
                <w:color w:val="000000" w:themeColor="text1"/>
                <w:sz w:val="22"/>
                <w:szCs w:val="22"/>
              </w:rPr>
            </w:pPr>
            <w:r w:rsidRPr="0013583C">
              <w:rPr>
                <w:color w:val="000000" w:themeColor="text1"/>
              </w:rPr>
              <w:object w:dxaOrig="4110" w:dyaOrig="3945">
                <v:shape id="_x0000_i1027" type="#_x0000_t75" style="width:180pt;height:172.5pt" o:ole="">
                  <v:imagedata r:id="rId12" o:title=""/>
                </v:shape>
                <o:OLEObject Type="Embed" ProgID="PBrush" ShapeID="_x0000_i1027" DrawAspect="Content" ObjectID="_1567139540" r:id="rId13"/>
              </w:object>
            </w:r>
          </w:p>
        </w:tc>
      </w:tr>
      <w:tr w:rsidR="00302E58" w:rsidRPr="0013583C" w:rsidTr="0000640A">
        <w:tc>
          <w:tcPr>
            <w:tcW w:w="8954" w:type="dxa"/>
            <w:shd w:val="clear" w:color="auto" w:fill="auto"/>
          </w:tcPr>
          <w:p w:rsidR="00302E58" w:rsidRPr="0013583C" w:rsidRDefault="00EC76B0" w:rsidP="00B35A67">
            <w:pPr>
              <w:autoSpaceDE w:val="0"/>
              <w:autoSpaceDN w:val="0"/>
              <w:bidi w:val="0"/>
              <w:adjustRightInd w:val="0"/>
              <w:spacing w:line="360" w:lineRule="auto"/>
              <w:jc w:val="center"/>
              <w:rPr>
                <w:color w:val="000000" w:themeColor="text1"/>
                <w:sz w:val="28"/>
                <w:szCs w:val="28"/>
              </w:rPr>
            </w:pPr>
            <w:r>
              <w:rPr>
                <w:color w:val="000000" w:themeColor="text1"/>
                <w:sz w:val="28"/>
                <w:szCs w:val="28"/>
              </w:rPr>
              <w:t>Fig. (1</w:t>
            </w:r>
            <w:r w:rsidR="00302E58" w:rsidRPr="0013583C">
              <w:rPr>
                <w:color w:val="000000" w:themeColor="text1"/>
                <w:sz w:val="28"/>
                <w:szCs w:val="28"/>
              </w:rPr>
              <w:t>): Geometry of spherical triangle</w:t>
            </w:r>
            <w:r w:rsidR="00302E58">
              <w:rPr>
                <w:color w:val="000000" w:themeColor="text1"/>
                <w:sz w:val="28"/>
                <w:szCs w:val="28"/>
              </w:rPr>
              <w:t xml:space="preserve"> </w:t>
            </w:r>
            <w:r w:rsidR="00302E58" w:rsidRPr="0013583C">
              <w:rPr>
                <w:color w:val="000000" w:themeColor="text1"/>
                <w:sz w:val="28"/>
                <w:szCs w:val="28"/>
              </w:rPr>
              <w:t>of tilting the zenith direction.</w:t>
            </w:r>
          </w:p>
        </w:tc>
      </w:tr>
    </w:tbl>
    <w:p w:rsidR="004E4168" w:rsidRDefault="004E4168" w:rsidP="00B35A67">
      <w:pPr>
        <w:autoSpaceDE w:val="0"/>
        <w:autoSpaceDN w:val="0"/>
        <w:bidi w:val="0"/>
        <w:adjustRightInd w:val="0"/>
        <w:spacing w:line="360" w:lineRule="auto"/>
        <w:ind w:firstLine="360"/>
        <w:jc w:val="both"/>
        <w:rPr>
          <w:color w:val="000000" w:themeColor="text1"/>
          <w:sz w:val="28"/>
          <w:szCs w:val="28"/>
        </w:rPr>
      </w:pPr>
    </w:p>
    <w:p w:rsidR="00302E58" w:rsidRPr="00302E58" w:rsidRDefault="00302E58" w:rsidP="00B35A67">
      <w:pPr>
        <w:autoSpaceDE w:val="0"/>
        <w:autoSpaceDN w:val="0"/>
        <w:bidi w:val="0"/>
        <w:adjustRightInd w:val="0"/>
        <w:spacing w:line="360" w:lineRule="auto"/>
        <w:ind w:firstLine="360"/>
        <w:jc w:val="both"/>
        <w:rPr>
          <w:color w:val="000000" w:themeColor="text1"/>
          <w:sz w:val="28"/>
          <w:szCs w:val="28"/>
        </w:rPr>
      </w:pPr>
      <w:r w:rsidRPr="00302E58">
        <w:rPr>
          <w:color w:val="000000" w:themeColor="text1"/>
          <w:sz w:val="28"/>
          <w:szCs w:val="28"/>
        </w:rPr>
        <w:t>Collins and Langley (2003) recommended estimation of tropospheric gradient parameters only when producing regional or global network solutions, not single baselines.</w:t>
      </w:r>
    </w:p>
    <w:p w:rsidR="001B6562" w:rsidRPr="001B30EA" w:rsidRDefault="001B6562" w:rsidP="00B35A67">
      <w:pPr>
        <w:widowControl w:val="0"/>
        <w:autoSpaceDE w:val="0"/>
        <w:autoSpaceDN w:val="0"/>
        <w:bidi w:val="0"/>
        <w:adjustRightInd w:val="0"/>
        <w:spacing w:line="360" w:lineRule="auto"/>
        <w:ind w:firstLine="720"/>
        <w:jc w:val="both"/>
        <w:rPr>
          <w:sz w:val="28"/>
          <w:szCs w:val="28"/>
        </w:rPr>
      </w:pPr>
    </w:p>
    <w:p w:rsidR="001B6562" w:rsidRPr="007D5E77" w:rsidRDefault="001B6562" w:rsidP="00B35A67">
      <w:pPr>
        <w:pStyle w:val="ListParagraph"/>
        <w:widowControl w:val="0"/>
        <w:numPr>
          <w:ilvl w:val="0"/>
          <w:numId w:val="16"/>
        </w:numPr>
        <w:autoSpaceDE w:val="0"/>
        <w:autoSpaceDN w:val="0"/>
        <w:bidi w:val="0"/>
        <w:adjustRightInd w:val="0"/>
        <w:spacing w:line="360" w:lineRule="auto"/>
        <w:jc w:val="both"/>
        <w:rPr>
          <w:rFonts w:asciiTheme="majorBidi" w:hAnsiTheme="majorBidi" w:cstheme="majorBidi"/>
          <w:b/>
          <w:bCs/>
          <w:sz w:val="28"/>
          <w:szCs w:val="28"/>
        </w:rPr>
      </w:pPr>
      <w:r w:rsidRPr="007D5E77">
        <w:rPr>
          <w:b/>
          <w:bCs/>
          <w:sz w:val="28"/>
          <w:szCs w:val="28"/>
        </w:rPr>
        <w:t>Results</w:t>
      </w:r>
      <w:r w:rsidRPr="007D5E77">
        <w:rPr>
          <w:rFonts w:asciiTheme="majorBidi" w:hAnsiTheme="majorBidi" w:cstheme="majorBidi"/>
          <w:b/>
          <w:bCs/>
          <w:sz w:val="28"/>
          <w:szCs w:val="28"/>
        </w:rPr>
        <w:t>.</w:t>
      </w:r>
    </w:p>
    <w:p w:rsidR="000B4B19" w:rsidRDefault="00B81B0E" w:rsidP="00B81B0E">
      <w:pPr>
        <w:bidi w:val="0"/>
        <w:spacing w:line="360" w:lineRule="auto"/>
        <w:ind w:firstLine="720"/>
        <w:jc w:val="both"/>
        <w:rPr>
          <w:sz w:val="28"/>
          <w:szCs w:val="28"/>
        </w:rPr>
      </w:pPr>
      <w:r w:rsidRPr="00302E58">
        <w:rPr>
          <w:sz w:val="28"/>
          <w:szCs w:val="28"/>
        </w:rPr>
        <w:t>PTD database model was used</w:t>
      </w:r>
      <w:r w:rsidR="000B4B19" w:rsidRPr="00302E58">
        <w:rPr>
          <w:sz w:val="28"/>
          <w:szCs w:val="28"/>
        </w:rPr>
        <w:t xml:space="preserve"> only for 88° zenith angle </w:t>
      </w:r>
      <w:r>
        <w:rPr>
          <w:sz w:val="28"/>
          <w:szCs w:val="28"/>
        </w:rPr>
        <w:t xml:space="preserve">because </w:t>
      </w:r>
      <w:r w:rsidR="000B4B19" w:rsidRPr="00302E58">
        <w:rPr>
          <w:sz w:val="28"/>
          <w:szCs w:val="28"/>
        </w:rPr>
        <w:t>the effect of azimuth asymmetr</w:t>
      </w:r>
      <w:r>
        <w:rPr>
          <w:sz w:val="28"/>
          <w:szCs w:val="28"/>
        </w:rPr>
        <w:t>y is expected to be significant</w:t>
      </w:r>
      <w:r w:rsidR="000B4B19" w:rsidRPr="00302E58">
        <w:rPr>
          <w:sz w:val="28"/>
          <w:szCs w:val="28"/>
        </w:rPr>
        <w:t>. The azimuth asymmetry effect of the dry part of delay is shown in figures (</w:t>
      </w:r>
      <w:r w:rsidR="00EC76B0">
        <w:rPr>
          <w:sz w:val="28"/>
          <w:szCs w:val="28"/>
        </w:rPr>
        <w:t>2</w:t>
      </w:r>
      <w:r w:rsidR="000B4B19" w:rsidRPr="00302E58">
        <w:rPr>
          <w:sz w:val="28"/>
          <w:szCs w:val="28"/>
        </w:rPr>
        <w:t xml:space="preserve"> ~ </w:t>
      </w:r>
      <w:r w:rsidR="00EC76B0">
        <w:rPr>
          <w:sz w:val="28"/>
          <w:szCs w:val="28"/>
        </w:rPr>
        <w:t>5</w:t>
      </w:r>
      <w:r w:rsidR="000B4B19" w:rsidRPr="00302E58">
        <w:rPr>
          <w:sz w:val="28"/>
          <w:szCs w:val="28"/>
        </w:rPr>
        <w:t>) for different seasons. Figures (</w:t>
      </w:r>
      <w:r w:rsidR="00EC76B0">
        <w:rPr>
          <w:sz w:val="28"/>
          <w:szCs w:val="28"/>
        </w:rPr>
        <w:t>6</w:t>
      </w:r>
      <w:r w:rsidR="000B4B19" w:rsidRPr="00302E58">
        <w:rPr>
          <w:sz w:val="28"/>
          <w:szCs w:val="28"/>
        </w:rPr>
        <w:t xml:space="preserve"> ~ </w:t>
      </w:r>
      <w:r w:rsidR="00EC76B0">
        <w:rPr>
          <w:sz w:val="28"/>
          <w:szCs w:val="28"/>
        </w:rPr>
        <w:t>9</w:t>
      </w:r>
      <w:r w:rsidR="000B4B19" w:rsidRPr="00302E58">
        <w:rPr>
          <w:sz w:val="28"/>
          <w:szCs w:val="28"/>
        </w:rPr>
        <w:t>) showed the azimuth asymmetry effect for the wet part of the delay.</w:t>
      </w:r>
    </w:p>
    <w:p w:rsidR="00953DBF" w:rsidRPr="00302E58" w:rsidRDefault="00953DBF" w:rsidP="00953DBF">
      <w:pPr>
        <w:bidi w:val="0"/>
        <w:spacing w:line="360" w:lineRule="auto"/>
        <w:ind w:firstLine="720"/>
        <w:jc w:val="both"/>
        <w:rPr>
          <w:sz w:val="28"/>
          <w:szCs w:val="28"/>
        </w:rPr>
      </w:pPr>
    </w:p>
    <w:tbl>
      <w:tblPr>
        <w:tblpPr w:leftFromText="180" w:rightFromText="180" w:vertAnchor="text" w:horzAnchor="margin" w:tblpXSpec="center" w:tblpY="90"/>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953DBF" w:rsidRPr="009A5EAD" w:rsidTr="00953DBF">
        <w:trPr>
          <w:trHeight w:val="5669"/>
        </w:trPr>
        <w:tc>
          <w:tcPr>
            <w:tcW w:w="9638" w:type="dxa"/>
            <w:tcBorders>
              <w:top w:val="nil"/>
              <w:left w:val="nil"/>
              <w:bottom w:val="nil"/>
              <w:right w:val="nil"/>
            </w:tcBorders>
            <w:shd w:val="clear" w:color="auto" w:fill="auto"/>
            <w:vAlign w:val="center"/>
          </w:tcPr>
          <w:p w:rsidR="000B4B19" w:rsidRPr="003F6E51" w:rsidRDefault="000B4B19" w:rsidP="00953DBF">
            <w:pPr>
              <w:bidi w:val="0"/>
              <w:spacing w:line="360" w:lineRule="auto"/>
              <w:jc w:val="center"/>
              <w:rPr>
                <w:sz w:val="28"/>
                <w:szCs w:val="28"/>
              </w:rPr>
            </w:pPr>
            <w:r w:rsidRPr="003F6E51">
              <w:rPr>
                <w:noProof/>
                <w:sz w:val="28"/>
                <w:szCs w:val="28"/>
              </w:rPr>
              <w:lastRenderedPageBreak/>
              <w:drawing>
                <wp:inline distT="0" distB="0" distL="0" distR="0" wp14:anchorId="7327B294" wp14:editId="54FADC76">
                  <wp:extent cx="5760000" cy="3456000"/>
                  <wp:effectExtent l="0" t="0" r="12700"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953DBF" w:rsidRPr="009A5EAD" w:rsidTr="00953DBF">
        <w:trPr>
          <w:trHeight w:val="850"/>
        </w:trPr>
        <w:tc>
          <w:tcPr>
            <w:tcW w:w="9638" w:type="dxa"/>
            <w:tcBorders>
              <w:top w:val="nil"/>
              <w:left w:val="nil"/>
              <w:bottom w:val="nil"/>
              <w:right w:val="nil"/>
            </w:tcBorders>
            <w:shd w:val="clear" w:color="auto" w:fill="auto"/>
            <w:vAlign w:val="center"/>
          </w:tcPr>
          <w:p w:rsidR="000B4B19" w:rsidRPr="003F6E51" w:rsidRDefault="000B4B19" w:rsidP="003F6E51">
            <w:pPr>
              <w:bidi w:val="0"/>
              <w:spacing w:line="360" w:lineRule="auto"/>
              <w:jc w:val="center"/>
              <w:rPr>
                <w:sz w:val="28"/>
                <w:szCs w:val="28"/>
              </w:rPr>
            </w:pPr>
            <w:r w:rsidRPr="003F6E51">
              <w:rPr>
                <w:sz w:val="28"/>
                <w:szCs w:val="28"/>
              </w:rPr>
              <w:t>Fig. (</w:t>
            </w:r>
            <w:r w:rsidR="00EC76B0" w:rsidRPr="003F6E51">
              <w:rPr>
                <w:sz w:val="28"/>
                <w:szCs w:val="28"/>
                <w:lang w:bidi="ar-EG"/>
              </w:rPr>
              <w:t>2</w:t>
            </w:r>
            <w:r w:rsidRPr="003F6E51">
              <w:rPr>
                <w:sz w:val="28"/>
                <w:szCs w:val="28"/>
              </w:rPr>
              <w:t>): Mean effect of azimuth asymmetry dry part during Jan, Feb and Mar.</w:t>
            </w:r>
          </w:p>
        </w:tc>
      </w:tr>
    </w:tbl>
    <w:p w:rsidR="003F6E51" w:rsidRPr="003F6E51" w:rsidRDefault="003F6E51" w:rsidP="003F6E51">
      <w:pPr>
        <w:autoSpaceDE w:val="0"/>
        <w:autoSpaceDN w:val="0"/>
        <w:bidi w:val="0"/>
        <w:adjustRightInd w:val="0"/>
        <w:spacing w:line="360" w:lineRule="auto"/>
        <w:jc w:val="both"/>
        <w:rPr>
          <w:rFonts w:ascii="Calibri" w:hAnsi="Calibri"/>
          <w:sz w:val="28"/>
          <w:szCs w:val="28"/>
        </w:rPr>
      </w:pPr>
    </w:p>
    <w:tbl>
      <w:tblPr>
        <w:tblpPr w:leftFromText="180" w:rightFromText="180" w:vertAnchor="text" w:horzAnchor="margin" w:tblpXSpec="center" w:tblpY="90"/>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0B4B19" w:rsidRPr="009A5EAD" w:rsidTr="00953DBF">
        <w:trPr>
          <w:trHeight w:val="5499"/>
        </w:trPr>
        <w:tc>
          <w:tcPr>
            <w:tcW w:w="9638" w:type="dxa"/>
            <w:tcBorders>
              <w:top w:val="nil"/>
              <w:left w:val="nil"/>
              <w:bottom w:val="nil"/>
              <w:right w:val="nil"/>
            </w:tcBorders>
            <w:shd w:val="clear" w:color="auto" w:fill="auto"/>
            <w:vAlign w:val="center"/>
          </w:tcPr>
          <w:p w:rsidR="000B4B19" w:rsidRPr="009A5EAD" w:rsidRDefault="003F6E51" w:rsidP="00953DBF">
            <w:pPr>
              <w:bidi w:val="0"/>
              <w:spacing w:line="360" w:lineRule="auto"/>
              <w:jc w:val="center"/>
              <w:rPr>
                <w:sz w:val="28"/>
                <w:szCs w:val="28"/>
              </w:rPr>
            </w:pPr>
            <w:r>
              <w:rPr>
                <w:rFonts w:hint="cs"/>
                <w:sz w:val="28"/>
                <w:szCs w:val="28"/>
                <w:rtl/>
              </w:rPr>
              <w:t>.</w:t>
            </w:r>
            <w:r w:rsidR="00FB269F">
              <w:rPr>
                <w:noProof/>
              </w:rPr>
              <w:drawing>
                <wp:inline distT="0" distB="0" distL="0" distR="0" wp14:anchorId="35E02D6F" wp14:editId="3567E9B3">
                  <wp:extent cx="5760000" cy="3456000"/>
                  <wp:effectExtent l="0" t="0" r="12700" b="1143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0B4B19" w:rsidRPr="009A5EAD" w:rsidTr="00953DBF">
        <w:trPr>
          <w:trHeight w:val="850"/>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sz w:val="28"/>
                <w:szCs w:val="28"/>
              </w:rPr>
              <w:t>Fig</w:t>
            </w:r>
            <w:r>
              <w:rPr>
                <w:sz w:val="28"/>
                <w:szCs w:val="28"/>
              </w:rPr>
              <w:t>.</w:t>
            </w:r>
            <w:r w:rsidRPr="009A5EAD">
              <w:rPr>
                <w:sz w:val="28"/>
                <w:szCs w:val="28"/>
              </w:rPr>
              <w:t xml:space="preserve"> (</w:t>
            </w:r>
            <w:r w:rsidR="00EC76B0">
              <w:rPr>
                <w:sz w:val="28"/>
                <w:szCs w:val="28"/>
                <w:lang w:bidi="ar-EG"/>
              </w:rPr>
              <w:t>3</w:t>
            </w:r>
            <w:r w:rsidRPr="009A5EAD">
              <w:rPr>
                <w:sz w:val="28"/>
                <w:szCs w:val="28"/>
              </w:rPr>
              <w:t xml:space="preserve">): Mean effect of azimuth asymmetry </w:t>
            </w:r>
            <w:r>
              <w:rPr>
                <w:sz w:val="28"/>
                <w:szCs w:val="28"/>
              </w:rPr>
              <w:t>d</w:t>
            </w:r>
            <w:r w:rsidRPr="009A5EAD">
              <w:rPr>
                <w:sz w:val="28"/>
                <w:szCs w:val="28"/>
              </w:rPr>
              <w:t xml:space="preserve">ry part </w:t>
            </w:r>
            <w:r>
              <w:rPr>
                <w:sz w:val="28"/>
                <w:szCs w:val="28"/>
              </w:rPr>
              <w:t>d</w:t>
            </w:r>
            <w:r w:rsidRPr="009A5EAD">
              <w:rPr>
                <w:sz w:val="28"/>
                <w:szCs w:val="28"/>
              </w:rPr>
              <w:t>uring Apr, May and Jun.</w:t>
            </w:r>
          </w:p>
        </w:tc>
      </w:tr>
      <w:tr w:rsidR="000B4B19" w:rsidRPr="009A5EAD" w:rsidTr="00953DBF">
        <w:trPr>
          <w:trHeight w:val="5386"/>
        </w:trPr>
        <w:tc>
          <w:tcPr>
            <w:tcW w:w="9638" w:type="dxa"/>
            <w:tcBorders>
              <w:top w:val="nil"/>
              <w:left w:val="nil"/>
              <w:bottom w:val="nil"/>
              <w:right w:val="nil"/>
            </w:tcBorders>
            <w:shd w:val="clear" w:color="auto" w:fill="auto"/>
            <w:vAlign w:val="center"/>
          </w:tcPr>
          <w:p w:rsidR="000B4B19" w:rsidRPr="009A5EAD" w:rsidRDefault="00FB269F" w:rsidP="00953DBF">
            <w:pPr>
              <w:bidi w:val="0"/>
              <w:spacing w:line="360" w:lineRule="auto"/>
              <w:jc w:val="center"/>
              <w:rPr>
                <w:sz w:val="28"/>
                <w:szCs w:val="28"/>
              </w:rPr>
            </w:pPr>
            <w:r w:rsidRPr="009A5EAD">
              <w:rPr>
                <w:noProof/>
              </w:rPr>
              <w:lastRenderedPageBreak/>
              <w:drawing>
                <wp:inline distT="0" distB="0" distL="0" distR="0" wp14:anchorId="7B7B8F2D" wp14:editId="4E30AD5A">
                  <wp:extent cx="5760000" cy="3456000"/>
                  <wp:effectExtent l="0" t="0" r="12700" b="1143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0B4B19" w:rsidRPr="009A5EAD" w:rsidTr="00953DBF">
        <w:trPr>
          <w:trHeight w:val="850"/>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sz w:val="28"/>
                <w:szCs w:val="28"/>
              </w:rPr>
              <w:t>Fig</w:t>
            </w:r>
            <w:r>
              <w:rPr>
                <w:sz w:val="28"/>
                <w:szCs w:val="28"/>
              </w:rPr>
              <w:t>.</w:t>
            </w:r>
            <w:r w:rsidRPr="009A5EAD">
              <w:rPr>
                <w:sz w:val="28"/>
                <w:szCs w:val="28"/>
              </w:rPr>
              <w:t xml:space="preserve"> (</w:t>
            </w:r>
            <w:r w:rsidR="00EC76B0">
              <w:rPr>
                <w:sz w:val="28"/>
                <w:szCs w:val="28"/>
                <w:lang w:bidi="ar-EG"/>
              </w:rPr>
              <w:t>4</w:t>
            </w:r>
            <w:r w:rsidRPr="009A5EAD">
              <w:rPr>
                <w:sz w:val="28"/>
                <w:szCs w:val="28"/>
              </w:rPr>
              <w:t xml:space="preserve">): Mean effect of azimuth asymmetry </w:t>
            </w:r>
            <w:r>
              <w:rPr>
                <w:sz w:val="28"/>
                <w:szCs w:val="28"/>
              </w:rPr>
              <w:t>d</w:t>
            </w:r>
            <w:r w:rsidRPr="009A5EAD">
              <w:rPr>
                <w:sz w:val="28"/>
                <w:szCs w:val="28"/>
              </w:rPr>
              <w:t xml:space="preserve">ry part </w:t>
            </w:r>
            <w:r>
              <w:rPr>
                <w:sz w:val="28"/>
                <w:szCs w:val="28"/>
              </w:rPr>
              <w:t>d</w:t>
            </w:r>
            <w:r w:rsidRPr="009A5EAD">
              <w:rPr>
                <w:sz w:val="28"/>
                <w:szCs w:val="28"/>
              </w:rPr>
              <w:t>uring Jul, Aug and Sep.</w:t>
            </w:r>
          </w:p>
        </w:tc>
      </w:tr>
    </w:tbl>
    <w:p w:rsidR="000B4B19" w:rsidRPr="00302E58" w:rsidRDefault="000B4B19" w:rsidP="00B35A67">
      <w:pPr>
        <w:bidi w:val="0"/>
        <w:spacing w:line="360" w:lineRule="auto"/>
        <w:jc w:val="both"/>
        <w:rPr>
          <w:sz w:val="28"/>
          <w:szCs w:val="28"/>
        </w:rPr>
      </w:pPr>
    </w:p>
    <w:tbl>
      <w:tblPr>
        <w:tblpPr w:leftFromText="180" w:rightFromText="180" w:vertAnchor="text" w:horzAnchor="margin" w:tblpXSpec="center" w:tblpY="90"/>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0B4B19" w:rsidRPr="009A5EAD" w:rsidTr="00953DBF">
        <w:trPr>
          <w:trHeight w:val="5386"/>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noProof/>
              </w:rPr>
              <w:drawing>
                <wp:inline distT="0" distB="0" distL="0" distR="0" wp14:anchorId="01588B5C" wp14:editId="3CE6EBA4">
                  <wp:extent cx="5760000" cy="3456000"/>
                  <wp:effectExtent l="0" t="0" r="1270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r w:rsidR="000B4B19" w:rsidRPr="009A5EAD" w:rsidTr="00953DBF">
        <w:trPr>
          <w:trHeight w:val="850"/>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sz w:val="28"/>
                <w:szCs w:val="28"/>
              </w:rPr>
              <w:t>Fig</w:t>
            </w:r>
            <w:r>
              <w:rPr>
                <w:sz w:val="28"/>
                <w:szCs w:val="28"/>
              </w:rPr>
              <w:t>.</w:t>
            </w:r>
            <w:r w:rsidRPr="009A5EAD">
              <w:rPr>
                <w:sz w:val="28"/>
                <w:szCs w:val="28"/>
              </w:rPr>
              <w:t xml:space="preserve"> (</w:t>
            </w:r>
            <w:r w:rsidR="00EC76B0">
              <w:rPr>
                <w:sz w:val="28"/>
                <w:szCs w:val="28"/>
                <w:lang w:bidi="ar-EG"/>
              </w:rPr>
              <w:t>5</w:t>
            </w:r>
            <w:r w:rsidRPr="009A5EAD">
              <w:rPr>
                <w:sz w:val="28"/>
                <w:szCs w:val="28"/>
              </w:rPr>
              <w:t xml:space="preserve">): Mean effect of azimuth asymmetry </w:t>
            </w:r>
            <w:r>
              <w:rPr>
                <w:sz w:val="28"/>
                <w:szCs w:val="28"/>
              </w:rPr>
              <w:t>d</w:t>
            </w:r>
            <w:r w:rsidRPr="009A5EAD">
              <w:rPr>
                <w:sz w:val="28"/>
                <w:szCs w:val="28"/>
              </w:rPr>
              <w:t xml:space="preserve">ry part </w:t>
            </w:r>
            <w:r>
              <w:rPr>
                <w:sz w:val="28"/>
                <w:szCs w:val="28"/>
              </w:rPr>
              <w:t>d</w:t>
            </w:r>
            <w:r w:rsidRPr="009A5EAD">
              <w:rPr>
                <w:sz w:val="28"/>
                <w:szCs w:val="28"/>
              </w:rPr>
              <w:t>uring Oct, Nov</w:t>
            </w:r>
            <w:r w:rsidR="00953DBF">
              <w:rPr>
                <w:sz w:val="28"/>
                <w:szCs w:val="28"/>
              </w:rPr>
              <w:t xml:space="preserve"> </w:t>
            </w:r>
            <w:r w:rsidRPr="009A5EAD">
              <w:rPr>
                <w:sz w:val="28"/>
                <w:szCs w:val="28"/>
              </w:rPr>
              <w:t>and Dec.</w:t>
            </w:r>
          </w:p>
        </w:tc>
      </w:tr>
    </w:tbl>
    <w:p w:rsidR="000B4B19" w:rsidRDefault="000B4B19" w:rsidP="00B35A67">
      <w:pPr>
        <w:bidi w:val="0"/>
        <w:spacing w:line="360" w:lineRule="auto"/>
        <w:jc w:val="both"/>
        <w:rPr>
          <w:sz w:val="28"/>
          <w:szCs w:val="28"/>
        </w:rPr>
      </w:pPr>
    </w:p>
    <w:tbl>
      <w:tblPr>
        <w:tblpPr w:leftFromText="180" w:rightFromText="180" w:vertAnchor="text" w:horzAnchor="margin" w:tblpXSpec="center" w:tblpY="144"/>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0B4B19" w:rsidRPr="009A5EAD" w:rsidTr="00953DBF">
        <w:trPr>
          <w:trHeight w:val="5386"/>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noProof/>
              </w:rPr>
              <w:lastRenderedPageBreak/>
              <w:drawing>
                <wp:inline distT="0" distB="0" distL="0" distR="0" wp14:anchorId="01EAB44C" wp14:editId="24136BA7">
                  <wp:extent cx="5760000" cy="3456000"/>
                  <wp:effectExtent l="0" t="0" r="12700" b="1143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0B4B19" w:rsidRPr="009A5EAD" w:rsidTr="00953DBF">
        <w:trPr>
          <w:trHeight w:val="850"/>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sz w:val="28"/>
                <w:szCs w:val="28"/>
              </w:rPr>
              <w:t>Fig</w:t>
            </w:r>
            <w:r>
              <w:rPr>
                <w:sz w:val="28"/>
                <w:szCs w:val="28"/>
              </w:rPr>
              <w:t>.</w:t>
            </w:r>
            <w:r w:rsidRPr="009A5EAD">
              <w:rPr>
                <w:sz w:val="28"/>
                <w:szCs w:val="28"/>
              </w:rPr>
              <w:t xml:space="preserve"> (</w:t>
            </w:r>
            <w:r w:rsidR="00EC76B0">
              <w:rPr>
                <w:sz w:val="28"/>
                <w:szCs w:val="28"/>
                <w:lang w:bidi="ar-EG"/>
              </w:rPr>
              <w:t>6</w:t>
            </w:r>
            <w:r w:rsidRPr="009A5EAD">
              <w:rPr>
                <w:sz w:val="28"/>
                <w:szCs w:val="28"/>
              </w:rPr>
              <w:t xml:space="preserve">): Mean effect of azimuth asymmetry </w:t>
            </w:r>
            <w:r>
              <w:rPr>
                <w:sz w:val="28"/>
                <w:szCs w:val="28"/>
              </w:rPr>
              <w:t>w</w:t>
            </w:r>
            <w:r w:rsidRPr="009A5EAD">
              <w:rPr>
                <w:sz w:val="28"/>
                <w:szCs w:val="28"/>
              </w:rPr>
              <w:t xml:space="preserve">et </w:t>
            </w:r>
            <w:r>
              <w:rPr>
                <w:sz w:val="28"/>
                <w:szCs w:val="28"/>
              </w:rPr>
              <w:t>p</w:t>
            </w:r>
            <w:r w:rsidRPr="009A5EAD">
              <w:rPr>
                <w:sz w:val="28"/>
                <w:szCs w:val="28"/>
              </w:rPr>
              <w:t xml:space="preserve">art </w:t>
            </w:r>
            <w:r>
              <w:rPr>
                <w:sz w:val="28"/>
                <w:szCs w:val="28"/>
              </w:rPr>
              <w:t>d</w:t>
            </w:r>
            <w:r w:rsidRPr="009A5EAD">
              <w:rPr>
                <w:sz w:val="28"/>
                <w:szCs w:val="28"/>
              </w:rPr>
              <w:t>uring Jan, Feb and Mar.</w:t>
            </w:r>
          </w:p>
        </w:tc>
      </w:tr>
    </w:tbl>
    <w:p w:rsidR="000B4B19" w:rsidRPr="00302E58" w:rsidRDefault="000B4B19" w:rsidP="00B35A67">
      <w:pPr>
        <w:bidi w:val="0"/>
        <w:spacing w:line="360" w:lineRule="auto"/>
        <w:jc w:val="both"/>
        <w:rPr>
          <w:sz w:val="28"/>
          <w:szCs w:val="28"/>
        </w:rPr>
      </w:pPr>
    </w:p>
    <w:tbl>
      <w:tblPr>
        <w:tblpPr w:leftFromText="180" w:rightFromText="180" w:vertAnchor="text" w:horzAnchor="margin" w:tblpXSpec="center" w:tblpY="144"/>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0B4B19" w:rsidRPr="009A5EAD" w:rsidTr="00953DBF">
        <w:trPr>
          <w:trHeight w:val="5103"/>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noProof/>
              </w:rPr>
              <w:drawing>
                <wp:inline distT="0" distB="0" distL="0" distR="0" wp14:anchorId="1815A74F" wp14:editId="11C050AD">
                  <wp:extent cx="5760000" cy="3456000"/>
                  <wp:effectExtent l="0" t="0" r="12700" b="1143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0B4B19" w:rsidRPr="009A5EAD" w:rsidTr="00953DBF">
        <w:trPr>
          <w:trHeight w:val="850"/>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Pr>
                <w:sz w:val="28"/>
                <w:szCs w:val="28"/>
              </w:rPr>
              <w:t>Fig.</w:t>
            </w:r>
            <w:r w:rsidRPr="009A5EAD">
              <w:rPr>
                <w:sz w:val="28"/>
                <w:szCs w:val="28"/>
              </w:rPr>
              <w:t xml:space="preserve"> (</w:t>
            </w:r>
            <w:r w:rsidR="00EC76B0">
              <w:rPr>
                <w:sz w:val="28"/>
                <w:szCs w:val="28"/>
                <w:lang w:bidi="ar-EG"/>
              </w:rPr>
              <w:t>7</w:t>
            </w:r>
            <w:r w:rsidRPr="009A5EAD">
              <w:rPr>
                <w:sz w:val="28"/>
                <w:szCs w:val="28"/>
              </w:rPr>
              <w:t xml:space="preserve">):Mean effect of azimuth asymmetry </w:t>
            </w:r>
            <w:r>
              <w:rPr>
                <w:sz w:val="28"/>
                <w:szCs w:val="28"/>
              </w:rPr>
              <w:t>w</w:t>
            </w:r>
            <w:r w:rsidRPr="009A5EAD">
              <w:rPr>
                <w:sz w:val="28"/>
                <w:szCs w:val="28"/>
              </w:rPr>
              <w:t xml:space="preserve">et </w:t>
            </w:r>
            <w:r>
              <w:rPr>
                <w:sz w:val="28"/>
                <w:szCs w:val="28"/>
              </w:rPr>
              <w:t>p</w:t>
            </w:r>
            <w:r w:rsidRPr="009A5EAD">
              <w:rPr>
                <w:sz w:val="28"/>
                <w:szCs w:val="28"/>
              </w:rPr>
              <w:t xml:space="preserve">art </w:t>
            </w:r>
            <w:r>
              <w:rPr>
                <w:sz w:val="28"/>
                <w:szCs w:val="28"/>
              </w:rPr>
              <w:t>d</w:t>
            </w:r>
            <w:r w:rsidRPr="009A5EAD">
              <w:rPr>
                <w:sz w:val="28"/>
                <w:szCs w:val="28"/>
              </w:rPr>
              <w:t>uring Apr, May and Jun.</w:t>
            </w:r>
          </w:p>
        </w:tc>
      </w:tr>
    </w:tbl>
    <w:p w:rsidR="000B4B19" w:rsidRPr="00953DBF" w:rsidRDefault="000B4B19" w:rsidP="00B35A67">
      <w:pPr>
        <w:bidi w:val="0"/>
        <w:spacing w:line="360" w:lineRule="auto"/>
        <w:jc w:val="both"/>
      </w:pPr>
    </w:p>
    <w:tbl>
      <w:tblPr>
        <w:tblpPr w:leftFromText="180" w:rightFromText="180" w:vertAnchor="text" w:horzAnchor="margin" w:tblpXSpec="center" w:tblpY="144"/>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0B4B19" w:rsidRPr="009A5EAD" w:rsidTr="00953DBF">
        <w:trPr>
          <w:trHeight w:val="5499"/>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noProof/>
              </w:rPr>
              <w:lastRenderedPageBreak/>
              <w:drawing>
                <wp:inline distT="0" distB="0" distL="0" distR="0" wp14:anchorId="19E3C18F" wp14:editId="51855414">
                  <wp:extent cx="5760000" cy="3456000"/>
                  <wp:effectExtent l="0" t="0" r="12700" b="1143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0B4B19" w:rsidRPr="009A5EAD" w:rsidTr="00953DBF">
        <w:trPr>
          <w:trHeight w:val="850"/>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Pr>
                <w:sz w:val="28"/>
                <w:szCs w:val="28"/>
              </w:rPr>
              <w:t>Fig.</w:t>
            </w:r>
            <w:r w:rsidRPr="009A5EAD">
              <w:rPr>
                <w:sz w:val="28"/>
                <w:szCs w:val="28"/>
              </w:rPr>
              <w:t xml:space="preserve"> (</w:t>
            </w:r>
            <w:r w:rsidR="00EC76B0">
              <w:rPr>
                <w:sz w:val="28"/>
                <w:szCs w:val="28"/>
                <w:lang w:bidi="ar-EG"/>
              </w:rPr>
              <w:t>8</w:t>
            </w:r>
            <w:r w:rsidRPr="009A5EAD">
              <w:rPr>
                <w:sz w:val="28"/>
                <w:szCs w:val="28"/>
              </w:rPr>
              <w:t xml:space="preserve">) Mean effect of azimuth asymmetry </w:t>
            </w:r>
            <w:r>
              <w:rPr>
                <w:sz w:val="28"/>
                <w:szCs w:val="28"/>
              </w:rPr>
              <w:t>w</w:t>
            </w:r>
            <w:r w:rsidRPr="009A5EAD">
              <w:rPr>
                <w:sz w:val="28"/>
                <w:szCs w:val="28"/>
              </w:rPr>
              <w:t xml:space="preserve">et </w:t>
            </w:r>
            <w:r>
              <w:rPr>
                <w:sz w:val="28"/>
                <w:szCs w:val="28"/>
              </w:rPr>
              <w:t>p</w:t>
            </w:r>
            <w:r w:rsidRPr="009A5EAD">
              <w:rPr>
                <w:sz w:val="28"/>
                <w:szCs w:val="28"/>
              </w:rPr>
              <w:t xml:space="preserve">art </w:t>
            </w:r>
            <w:r>
              <w:rPr>
                <w:sz w:val="28"/>
                <w:szCs w:val="28"/>
              </w:rPr>
              <w:t>d</w:t>
            </w:r>
            <w:r w:rsidRPr="009A5EAD">
              <w:rPr>
                <w:sz w:val="28"/>
                <w:szCs w:val="28"/>
              </w:rPr>
              <w:t>uring Jul, Aug and Sep.</w:t>
            </w:r>
          </w:p>
        </w:tc>
      </w:tr>
    </w:tbl>
    <w:p w:rsidR="000B4B19" w:rsidRPr="00302E58" w:rsidRDefault="000B4B19" w:rsidP="00B35A67">
      <w:pPr>
        <w:bidi w:val="0"/>
        <w:spacing w:line="360" w:lineRule="auto"/>
        <w:jc w:val="both"/>
        <w:rPr>
          <w:sz w:val="28"/>
          <w:szCs w:val="28"/>
        </w:rPr>
      </w:pPr>
    </w:p>
    <w:tbl>
      <w:tblPr>
        <w:tblpPr w:leftFromText="180" w:rightFromText="180" w:vertAnchor="text" w:horzAnchor="margin" w:tblpXSpec="center" w:tblpY="144"/>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8"/>
      </w:tblGrid>
      <w:tr w:rsidR="000B4B19" w:rsidRPr="009A5EAD" w:rsidTr="00953DBF">
        <w:trPr>
          <w:trHeight w:val="5499"/>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noProof/>
              </w:rPr>
              <w:drawing>
                <wp:inline distT="0" distB="0" distL="0" distR="0" wp14:anchorId="02F767E6" wp14:editId="685993DB">
                  <wp:extent cx="5760000" cy="3456000"/>
                  <wp:effectExtent l="0" t="0" r="12700" b="1143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r w:rsidR="000B4B19" w:rsidRPr="009A5EAD" w:rsidTr="00953DBF">
        <w:trPr>
          <w:trHeight w:val="850"/>
        </w:trPr>
        <w:tc>
          <w:tcPr>
            <w:tcW w:w="9638" w:type="dxa"/>
            <w:tcBorders>
              <w:top w:val="nil"/>
              <w:left w:val="nil"/>
              <w:bottom w:val="nil"/>
              <w:right w:val="nil"/>
            </w:tcBorders>
            <w:shd w:val="clear" w:color="auto" w:fill="auto"/>
            <w:vAlign w:val="center"/>
          </w:tcPr>
          <w:p w:rsidR="000B4B19" w:rsidRPr="009A5EAD" w:rsidRDefault="000B4B19" w:rsidP="00953DBF">
            <w:pPr>
              <w:bidi w:val="0"/>
              <w:spacing w:line="360" w:lineRule="auto"/>
              <w:jc w:val="center"/>
              <w:rPr>
                <w:sz w:val="28"/>
                <w:szCs w:val="28"/>
              </w:rPr>
            </w:pPr>
            <w:r w:rsidRPr="009A5EAD">
              <w:rPr>
                <w:sz w:val="28"/>
                <w:szCs w:val="28"/>
              </w:rPr>
              <w:t>Fig</w:t>
            </w:r>
            <w:r>
              <w:rPr>
                <w:sz w:val="28"/>
                <w:szCs w:val="28"/>
              </w:rPr>
              <w:t>.</w:t>
            </w:r>
            <w:r w:rsidRPr="009A5EAD">
              <w:rPr>
                <w:sz w:val="28"/>
                <w:szCs w:val="28"/>
              </w:rPr>
              <w:t xml:space="preserve"> (</w:t>
            </w:r>
            <w:r w:rsidR="00EC76B0">
              <w:rPr>
                <w:sz w:val="28"/>
                <w:szCs w:val="28"/>
                <w:lang w:bidi="ar-EG"/>
              </w:rPr>
              <w:t>9</w:t>
            </w:r>
            <w:r w:rsidRPr="009A5EAD">
              <w:rPr>
                <w:sz w:val="28"/>
                <w:szCs w:val="28"/>
              </w:rPr>
              <w:t xml:space="preserve">):Mean effect of azimuth asymmetry </w:t>
            </w:r>
            <w:r>
              <w:rPr>
                <w:sz w:val="28"/>
                <w:szCs w:val="28"/>
              </w:rPr>
              <w:t>w</w:t>
            </w:r>
            <w:r w:rsidRPr="009A5EAD">
              <w:rPr>
                <w:sz w:val="28"/>
                <w:szCs w:val="28"/>
              </w:rPr>
              <w:t xml:space="preserve">et </w:t>
            </w:r>
            <w:r>
              <w:rPr>
                <w:sz w:val="28"/>
                <w:szCs w:val="28"/>
              </w:rPr>
              <w:t>p</w:t>
            </w:r>
            <w:r w:rsidRPr="009A5EAD">
              <w:rPr>
                <w:sz w:val="28"/>
                <w:szCs w:val="28"/>
              </w:rPr>
              <w:t xml:space="preserve">art </w:t>
            </w:r>
            <w:r>
              <w:rPr>
                <w:sz w:val="28"/>
                <w:szCs w:val="28"/>
              </w:rPr>
              <w:t>d</w:t>
            </w:r>
            <w:r w:rsidRPr="009A5EAD">
              <w:rPr>
                <w:sz w:val="28"/>
                <w:szCs w:val="28"/>
              </w:rPr>
              <w:t>uring Oct, Nov and Dec.</w:t>
            </w:r>
          </w:p>
        </w:tc>
      </w:tr>
    </w:tbl>
    <w:p w:rsidR="000E3976" w:rsidRDefault="000E3976" w:rsidP="00B35A67">
      <w:pPr>
        <w:bidi w:val="0"/>
        <w:spacing w:line="360" w:lineRule="auto"/>
        <w:jc w:val="both"/>
      </w:pPr>
    </w:p>
    <w:p w:rsidR="005F3026" w:rsidRDefault="009A5921" w:rsidP="009A5921">
      <w:pPr>
        <w:bidi w:val="0"/>
        <w:spacing w:line="360" w:lineRule="auto"/>
        <w:ind w:firstLine="360"/>
        <w:jc w:val="both"/>
        <w:rPr>
          <w:sz w:val="28"/>
          <w:szCs w:val="28"/>
          <w:lang w:bidi="ar-EG"/>
        </w:rPr>
      </w:pPr>
      <w:r>
        <w:rPr>
          <w:sz w:val="28"/>
          <w:szCs w:val="28"/>
          <w:lang w:bidi="ar-EG"/>
        </w:rPr>
        <w:lastRenderedPageBreak/>
        <w:t>From figures (2</w:t>
      </w:r>
      <w:r w:rsidRPr="00302E58">
        <w:rPr>
          <w:sz w:val="28"/>
          <w:szCs w:val="28"/>
          <w:lang w:bidi="ar-EG"/>
        </w:rPr>
        <w:t xml:space="preserve"> ~ </w:t>
      </w:r>
      <w:r>
        <w:rPr>
          <w:sz w:val="28"/>
          <w:szCs w:val="28"/>
          <w:lang w:bidi="ar-EG"/>
        </w:rPr>
        <w:t>5),</w:t>
      </w:r>
      <w:r w:rsidR="005F3026">
        <w:rPr>
          <w:sz w:val="28"/>
          <w:szCs w:val="28"/>
          <w:lang w:bidi="ar-EG"/>
        </w:rPr>
        <w:t xml:space="preserve"> </w:t>
      </w:r>
      <w:r>
        <w:rPr>
          <w:sz w:val="28"/>
          <w:szCs w:val="28"/>
          <w:lang w:bidi="ar-EG"/>
        </w:rPr>
        <w:t>dry case:</w:t>
      </w:r>
      <w:r w:rsidR="00EF61F0">
        <w:rPr>
          <w:sz w:val="28"/>
          <w:szCs w:val="28"/>
          <w:lang w:bidi="ar-EG"/>
        </w:rPr>
        <w:t xml:space="preserve"> the fluctuation of azimuth asymmetric for latitude (22̊, 24̊, 26̊, 28̊, 30̊ and 32̊) were 9.8</w:t>
      </w:r>
      <w:r w:rsidR="005F3026">
        <w:rPr>
          <w:sz w:val="28"/>
          <w:szCs w:val="28"/>
          <w:lang w:bidi="ar-EG"/>
        </w:rPr>
        <w:t xml:space="preserve">, 9.9, 10.0, 10.4, </w:t>
      </w:r>
      <w:r w:rsidR="00EF61F0">
        <w:rPr>
          <w:sz w:val="28"/>
          <w:szCs w:val="28"/>
          <w:lang w:bidi="ar-EG"/>
        </w:rPr>
        <w:t>10.7 and</w:t>
      </w:r>
      <w:r w:rsidR="005F3026">
        <w:rPr>
          <w:sz w:val="28"/>
          <w:szCs w:val="28"/>
          <w:lang w:bidi="ar-EG"/>
        </w:rPr>
        <w:t xml:space="preserve"> 10.9</w:t>
      </w:r>
      <w:r w:rsidR="00EF61F0">
        <w:rPr>
          <w:sz w:val="28"/>
          <w:szCs w:val="28"/>
          <w:lang w:bidi="ar-EG"/>
        </w:rPr>
        <w:t xml:space="preserve"> cm respectively</w:t>
      </w:r>
    </w:p>
    <w:p w:rsidR="00EF61F0" w:rsidRDefault="009A5921" w:rsidP="009A5921">
      <w:pPr>
        <w:bidi w:val="0"/>
        <w:spacing w:line="360" w:lineRule="auto"/>
        <w:ind w:firstLine="360"/>
        <w:jc w:val="both"/>
        <w:rPr>
          <w:sz w:val="28"/>
          <w:szCs w:val="28"/>
          <w:lang w:bidi="ar-EG"/>
        </w:rPr>
      </w:pPr>
      <w:r>
        <w:rPr>
          <w:sz w:val="28"/>
          <w:szCs w:val="28"/>
          <w:lang w:bidi="ar-EG"/>
        </w:rPr>
        <w:t>From figures (6</w:t>
      </w:r>
      <w:r w:rsidRPr="00302E58">
        <w:rPr>
          <w:sz w:val="28"/>
          <w:szCs w:val="28"/>
          <w:lang w:bidi="ar-EG"/>
        </w:rPr>
        <w:t xml:space="preserve"> ~ </w:t>
      </w:r>
      <w:r>
        <w:rPr>
          <w:sz w:val="28"/>
          <w:szCs w:val="28"/>
          <w:lang w:bidi="ar-EG"/>
        </w:rPr>
        <w:t>9), dry case:</w:t>
      </w:r>
      <w:r w:rsidR="00EF61F0">
        <w:rPr>
          <w:sz w:val="28"/>
          <w:szCs w:val="28"/>
          <w:lang w:bidi="ar-EG"/>
        </w:rPr>
        <w:t xml:space="preserve"> the fluctuation of azimuth asymmetric for latitude (22̊, 24̊, 26̊, 28̊, 30̊ and 32̊) were 6.1, 6.5, 7.0, 7.4, 7.7, and 8.1 cm respectively</w:t>
      </w:r>
    </w:p>
    <w:p w:rsidR="005F3026" w:rsidRDefault="005F3026" w:rsidP="005F3026">
      <w:pPr>
        <w:bidi w:val="0"/>
        <w:spacing w:line="360" w:lineRule="auto"/>
        <w:ind w:firstLine="360"/>
        <w:jc w:val="both"/>
        <w:rPr>
          <w:sz w:val="28"/>
          <w:szCs w:val="28"/>
          <w:lang w:bidi="ar-EG"/>
        </w:rPr>
      </w:pPr>
      <w:r w:rsidRPr="00302E58">
        <w:rPr>
          <w:sz w:val="28"/>
          <w:szCs w:val="28"/>
          <w:lang w:bidi="ar-EG"/>
        </w:rPr>
        <w:t xml:space="preserve">From these </w:t>
      </w:r>
      <w:r>
        <w:rPr>
          <w:sz w:val="28"/>
          <w:szCs w:val="28"/>
          <w:lang w:bidi="ar-EG"/>
        </w:rPr>
        <w:t>results</w:t>
      </w:r>
      <w:r w:rsidRPr="00302E58">
        <w:rPr>
          <w:sz w:val="28"/>
          <w:szCs w:val="28"/>
          <w:lang w:bidi="ar-EG"/>
        </w:rPr>
        <w:t xml:space="preserve">, the fluctuation of azimuth asymmetric is about 10.3 cm and 7.1 cm for dry and wet delay, respectively. </w:t>
      </w:r>
    </w:p>
    <w:p w:rsidR="00EE3642" w:rsidRDefault="00EE3642" w:rsidP="005F3026">
      <w:pPr>
        <w:bidi w:val="0"/>
        <w:spacing w:line="360" w:lineRule="auto"/>
        <w:ind w:firstLine="360"/>
        <w:jc w:val="both"/>
        <w:rPr>
          <w:sz w:val="28"/>
          <w:szCs w:val="28"/>
          <w:lang w:bidi="ar-EG"/>
        </w:rPr>
      </w:pPr>
      <w:r w:rsidRPr="00953DBF">
        <w:rPr>
          <w:sz w:val="28"/>
          <w:szCs w:val="28"/>
          <w:lang w:bidi="ar-EG"/>
        </w:rPr>
        <w:t>The results of figure</w:t>
      </w:r>
      <w:r>
        <w:rPr>
          <w:sz w:val="28"/>
          <w:szCs w:val="28"/>
          <w:lang w:bidi="ar-EG"/>
        </w:rPr>
        <w:t>s</w:t>
      </w:r>
      <w:r w:rsidRPr="00953DBF">
        <w:rPr>
          <w:sz w:val="28"/>
          <w:szCs w:val="28"/>
          <w:lang w:bidi="ar-EG"/>
        </w:rPr>
        <w:t xml:space="preserve"> (</w:t>
      </w:r>
      <w:r>
        <w:rPr>
          <w:sz w:val="28"/>
          <w:szCs w:val="28"/>
          <w:lang w:bidi="ar-EG"/>
        </w:rPr>
        <w:t>2</w:t>
      </w:r>
      <w:r w:rsidRPr="00302E58">
        <w:rPr>
          <w:sz w:val="28"/>
          <w:szCs w:val="28"/>
          <w:lang w:bidi="ar-EG"/>
        </w:rPr>
        <w:t xml:space="preserve"> ~ </w:t>
      </w:r>
      <w:r>
        <w:rPr>
          <w:sz w:val="28"/>
          <w:szCs w:val="28"/>
          <w:lang w:bidi="ar-EG"/>
        </w:rPr>
        <w:t>5</w:t>
      </w:r>
      <w:r w:rsidRPr="00953DBF">
        <w:rPr>
          <w:sz w:val="28"/>
          <w:szCs w:val="28"/>
          <w:lang w:bidi="ar-EG"/>
        </w:rPr>
        <w:t>) indicated that the dry zenith delay is increasing by increasing latitude that mean the dry delay reach maximum value in north of Egypt. The effect of azimuth angle was very clear and make sine curve in all latitudes. The results of figure (3) and figure (5) are similar to figure (2) and figure (4) but the results are close to each other</w:t>
      </w:r>
      <w:r w:rsidRPr="00953DBF">
        <w:rPr>
          <w:rFonts w:hint="cs"/>
          <w:sz w:val="28"/>
          <w:szCs w:val="28"/>
          <w:rtl/>
          <w:lang w:bidi="ar-EG"/>
        </w:rPr>
        <w:t>.</w:t>
      </w:r>
    </w:p>
    <w:p w:rsidR="00EE3642" w:rsidRDefault="00EE3642" w:rsidP="005F3026">
      <w:pPr>
        <w:bidi w:val="0"/>
        <w:spacing w:line="360" w:lineRule="auto"/>
        <w:ind w:firstLine="360"/>
        <w:jc w:val="both"/>
        <w:rPr>
          <w:sz w:val="28"/>
          <w:szCs w:val="28"/>
          <w:lang w:bidi="ar-EG"/>
        </w:rPr>
      </w:pPr>
      <w:r>
        <w:rPr>
          <w:sz w:val="28"/>
          <w:szCs w:val="28"/>
          <w:lang w:bidi="ar-EG"/>
        </w:rPr>
        <w:t>In the most case</w:t>
      </w:r>
      <w:r w:rsidR="005F3026">
        <w:rPr>
          <w:sz w:val="28"/>
          <w:szCs w:val="28"/>
          <w:lang w:bidi="ar-EG"/>
        </w:rPr>
        <w:t>,</w:t>
      </w:r>
      <w:r>
        <w:rPr>
          <w:sz w:val="28"/>
          <w:szCs w:val="28"/>
          <w:lang w:bidi="ar-EG"/>
        </w:rPr>
        <w:t xml:space="preserve"> the effect of latitude in figures (6</w:t>
      </w:r>
      <w:r w:rsidRPr="00302E58">
        <w:rPr>
          <w:sz w:val="28"/>
          <w:szCs w:val="28"/>
          <w:lang w:bidi="ar-EG"/>
        </w:rPr>
        <w:t xml:space="preserve"> ~ </w:t>
      </w:r>
      <w:r>
        <w:rPr>
          <w:sz w:val="28"/>
          <w:szCs w:val="28"/>
          <w:lang w:bidi="ar-EG"/>
        </w:rPr>
        <w:t>9</w:t>
      </w:r>
      <w:r w:rsidRPr="00953DBF">
        <w:rPr>
          <w:sz w:val="28"/>
          <w:szCs w:val="28"/>
          <w:lang w:bidi="ar-EG"/>
        </w:rPr>
        <w:t>)</w:t>
      </w:r>
      <w:r>
        <w:rPr>
          <w:sz w:val="28"/>
          <w:szCs w:val="28"/>
          <w:lang w:bidi="ar-EG"/>
        </w:rPr>
        <w:t xml:space="preserve"> were reverse than figures (2</w:t>
      </w:r>
      <w:r w:rsidRPr="00302E58">
        <w:rPr>
          <w:sz w:val="28"/>
          <w:szCs w:val="28"/>
          <w:lang w:bidi="ar-EG"/>
        </w:rPr>
        <w:t xml:space="preserve"> ~ </w:t>
      </w:r>
      <w:r>
        <w:rPr>
          <w:sz w:val="28"/>
          <w:szCs w:val="28"/>
          <w:lang w:bidi="ar-EG"/>
        </w:rPr>
        <w:t>5</w:t>
      </w:r>
      <w:r w:rsidRPr="00953DBF">
        <w:rPr>
          <w:sz w:val="28"/>
          <w:szCs w:val="28"/>
          <w:lang w:bidi="ar-EG"/>
        </w:rPr>
        <w:t>)</w:t>
      </w:r>
      <w:r>
        <w:rPr>
          <w:sz w:val="28"/>
          <w:szCs w:val="28"/>
          <w:lang w:bidi="ar-EG"/>
        </w:rPr>
        <w:t xml:space="preserve"> </w:t>
      </w:r>
      <w:r w:rsidRPr="00317D0B">
        <w:rPr>
          <w:sz w:val="28"/>
          <w:szCs w:val="28"/>
          <w:lang w:bidi="ar-EG"/>
        </w:rPr>
        <w:t>thus because the zenith delay give the maximum values for the northern latitude in dry case and the wet case was reverse.</w:t>
      </w:r>
      <w:r w:rsidR="005F3026">
        <w:rPr>
          <w:sz w:val="28"/>
          <w:szCs w:val="28"/>
          <w:lang w:bidi="ar-EG"/>
        </w:rPr>
        <w:t xml:space="preserve"> The </w:t>
      </w:r>
      <w:r w:rsidR="005F3026" w:rsidRPr="00302E58">
        <w:rPr>
          <w:sz w:val="28"/>
          <w:szCs w:val="28"/>
          <w:lang w:bidi="ar-EG"/>
        </w:rPr>
        <w:t>azimuth asymmetry</w:t>
      </w:r>
      <w:r w:rsidR="005F3026">
        <w:rPr>
          <w:sz w:val="28"/>
          <w:szCs w:val="28"/>
          <w:lang w:bidi="ar-EG"/>
        </w:rPr>
        <w:t xml:space="preserve"> in dry case are greater than in wet case thus because the height of dry tropospheric part is greater than the height of wet part.</w:t>
      </w:r>
    </w:p>
    <w:p w:rsidR="00EE3642" w:rsidRDefault="00EE3642" w:rsidP="009A7D0C">
      <w:pPr>
        <w:bidi w:val="0"/>
        <w:spacing w:line="360" w:lineRule="auto"/>
        <w:ind w:firstLine="360"/>
        <w:jc w:val="both"/>
        <w:rPr>
          <w:sz w:val="28"/>
          <w:szCs w:val="28"/>
          <w:lang w:bidi="ar-EG"/>
        </w:rPr>
      </w:pPr>
    </w:p>
    <w:p w:rsidR="001B6562" w:rsidRPr="000B4B19" w:rsidRDefault="001B6562" w:rsidP="00B35A67">
      <w:pPr>
        <w:pStyle w:val="ListParagraph"/>
        <w:numPr>
          <w:ilvl w:val="0"/>
          <w:numId w:val="15"/>
        </w:numPr>
        <w:bidi w:val="0"/>
        <w:spacing w:line="360" w:lineRule="auto"/>
        <w:jc w:val="both"/>
        <w:rPr>
          <w:b/>
          <w:bCs/>
          <w:sz w:val="28"/>
          <w:szCs w:val="28"/>
        </w:rPr>
      </w:pPr>
      <w:r w:rsidRPr="000B4B19">
        <w:rPr>
          <w:b/>
          <w:bCs/>
          <w:sz w:val="28"/>
          <w:szCs w:val="28"/>
        </w:rPr>
        <w:t>Conclusions</w:t>
      </w:r>
    </w:p>
    <w:p w:rsidR="005C0F39" w:rsidRPr="005C0F39" w:rsidRDefault="00EF61F0" w:rsidP="00EF61F0">
      <w:pPr>
        <w:bidi w:val="0"/>
        <w:spacing w:line="360" w:lineRule="auto"/>
        <w:ind w:firstLine="360"/>
        <w:jc w:val="both"/>
        <w:rPr>
          <w:sz w:val="28"/>
          <w:szCs w:val="28"/>
          <w:lang w:bidi="ar-EG"/>
        </w:rPr>
      </w:pPr>
      <w:r>
        <w:rPr>
          <w:sz w:val="28"/>
          <w:szCs w:val="28"/>
          <w:lang w:bidi="ar-EG"/>
        </w:rPr>
        <w:t xml:space="preserve">The </w:t>
      </w:r>
      <w:r w:rsidR="005C0F39" w:rsidRPr="005C0F39">
        <w:rPr>
          <w:sz w:val="28"/>
          <w:szCs w:val="28"/>
          <w:lang w:bidi="ar-EG"/>
        </w:rPr>
        <w:t>dry and wet fluctuation of azimuth asymmetric in the east direction is nearly equal to that of the west direction while the dry delay in the north latitude is greater than delay in the south.</w:t>
      </w:r>
    </w:p>
    <w:p w:rsidR="00317D0B" w:rsidRPr="00317D0B" w:rsidRDefault="00317D0B" w:rsidP="00EE3642">
      <w:pPr>
        <w:bidi w:val="0"/>
        <w:spacing w:line="360" w:lineRule="auto"/>
        <w:ind w:firstLine="360"/>
        <w:jc w:val="both"/>
        <w:rPr>
          <w:sz w:val="28"/>
          <w:szCs w:val="28"/>
          <w:lang w:bidi="ar-EG"/>
        </w:rPr>
      </w:pPr>
      <w:r w:rsidRPr="00317D0B">
        <w:rPr>
          <w:sz w:val="28"/>
          <w:szCs w:val="28"/>
          <w:lang w:bidi="ar-EG"/>
        </w:rPr>
        <w:t>The dry troposphere give the maximum values for the northern latitude against the southern latitude. In addition, the wet delay components give a r</w:t>
      </w:r>
      <w:r w:rsidR="00EE3642">
        <w:rPr>
          <w:sz w:val="28"/>
          <w:szCs w:val="28"/>
          <w:lang w:bidi="ar-EG"/>
        </w:rPr>
        <w:t>everse values for the latitudes.</w:t>
      </w:r>
    </w:p>
    <w:p w:rsidR="00B85110" w:rsidRPr="005C0F39" w:rsidRDefault="000B4B19" w:rsidP="005C0F39">
      <w:pPr>
        <w:bidi w:val="0"/>
        <w:spacing w:line="360" w:lineRule="auto"/>
        <w:ind w:firstLine="360"/>
        <w:jc w:val="both"/>
        <w:rPr>
          <w:rFonts w:asciiTheme="majorBidi" w:hAnsiTheme="majorBidi" w:cstheme="majorBidi"/>
          <w:color w:val="000000" w:themeColor="text1"/>
          <w:sz w:val="28"/>
          <w:szCs w:val="28"/>
        </w:rPr>
      </w:pPr>
      <w:r w:rsidRPr="000B4B19">
        <w:rPr>
          <w:sz w:val="28"/>
          <w:szCs w:val="28"/>
          <w:lang w:bidi="ar-EG"/>
        </w:rPr>
        <w:t>Tropospheric azimuthal asymmetry and signal exce</w:t>
      </w:r>
      <w:r>
        <w:rPr>
          <w:sz w:val="28"/>
          <w:szCs w:val="28"/>
          <w:lang w:bidi="ar-EG"/>
        </w:rPr>
        <w:t xml:space="preserve">ss path in troposphere are </w:t>
      </w:r>
      <w:r w:rsidRPr="000B4B19">
        <w:rPr>
          <w:sz w:val="28"/>
          <w:szCs w:val="28"/>
          <w:lang w:bidi="ar-EG"/>
        </w:rPr>
        <w:t>analyzed</w:t>
      </w:r>
      <w:r>
        <w:rPr>
          <w:sz w:val="28"/>
          <w:szCs w:val="28"/>
          <w:lang w:bidi="ar-EG"/>
        </w:rPr>
        <w:t xml:space="preserve"> using PTD database</w:t>
      </w:r>
      <w:r w:rsidR="00B85110">
        <w:rPr>
          <w:sz w:val="28"/>
          <w:szCs w:val="28"/>
        </w:rPr>
        <w:t xml:space="preserve"> and </w:t>
      </w:r>
      <w:r w:rsidR="00B85110" w:rsidRPr="00890E1C">
        <w:rPr>
          <w:sz w:val="28"/>
          <w:szCs w:val="28"/>
        </w:rPr>
        <w:t xml:space="preserve">the fluctuation of azimuth asymmetry </w:t>
      </w:r>
      <w:r w:rsidR="00B85110" w:rsidRPr="00890E1C">
        <w:rPr>
          <w:sz w:val="28"/>
          <w:szCs w:val="28"/>
        </w:rPr>
        <w:lastRenderedPageBreak/>
        <w:t>reached to 19 cm.</w:t>
      </w:r>
      <w:r w:rsidR="00EF61F0">
        <w:rPr>
          <w:sz w:val="28"/>
          <w:szCs w:val="28"/>
        </w:rPr>
        <w:t xml:space="preserve"> </w:t>
      </w:r>
      <w:r w:rsidR="007B6AC4" w:rsidRPr="008069DF">
        <w:rPr>
          <w:sz w:val="28"/>
          <w:szCs w:val="28"/>
          <w:lang w:bidi="ar-EG"/>
        </w:rPr>
        <w:t xml:space="preserve">The </w:t>
      </w:r>
      <w:r w:rsidR="007B6AC4">
        <w:rPr>
          <w:sz w:val="28"/>
          <w:szCs w:val="28"/>
          <w:lang w:bidi="ar-EG"/>
        </w:rPr>
        <w:t>azimuth asymmetry reached to 10.9 cm and 8.1 cm in dry and wet, respectively.</w:t>
      </w:r>
      <w:r w:rsidR="00B85110">
        <w:rPr>
          <w:sz w:val="28"/>
          <w:szCs w:val="28"/>
          <w:lang w:bidi="ar-EG"/>
        </w:rPr>
        <w:t xml:space="preserve"> </w:t>
      </w:r>
    </w:p>
    <w:p w:rsidR="001B6562" w:rsidRPr="001B6562" w:rsidRDefault="001B6562" w:rsidP="00B35A67">
      <w:pPr>
        <w:autoSpaceDE w:val="0"/>
        <w:autoSpaceDN w:val="0"/>
        <w:bidi w:val="0"/>
        <w:adjustRightInd w:val="0"/>
        <w:spacing w:line="360" w:lineRule="auto"/>
        <w:ind w:firstLine="720"/>
        <w:jc w:val="both"/>
        <w:rPr>
          <w:rFonts w:asciiTheme="majorBidi" w:hAnsiTheme="majorBidi" w:cstheme="majorBidi"/>
          <w:sz w:val="28"/>
          <w:szCs w:val="28"/>
          <w:lang w:bidi="ar-EG"/>
        </w:rPr>
      </w:pPr>
    </w:p>
    <w:p w:rsidR="001B6562" w:rsidRDefault="001B6562" w:rsidP="00B35A67">
      <w:pPr>
        <w:pStyle w:val="ListParagraph"/>
        <w:numPr>
          <w:ilvl w:val="0"/>
          <w:numId w:val="15"/>
        </w:numPr>
        <w:bidi w:val="0"/>
        <w:spacing w:line="360" w:lineRule="auto"/>
        <w:jc w:val="both"/>
        <w:rPr>
          <w:sz w:val="28"/>
          <w:szCs w:val="28"/>
        </w:rPr>
      </w:pPr>
      <w:r w:rsidRPr="007D5E77">
        <w:rPr>
          <w:b/>
          <w:bCs/>
          <w:sz w:val="28"/>
          <w:szCs w:val="28"/>
        </w:rPr>
        <w:t>References</w:t>
      </w:r>
      <w:r w:rsidRPr="007D5E77">
        <w:rPr>
          <w:sz w:val="28"/>
          <w:szCs w:val="28"/>
        </w:rPr>
        <w:t>.</w:t>
      </w:r>
    </w:p>
    <w:p w:rsidR="00C04141" w:rsidRPr="008144F5" w:rsidRDefault="00C04141" w:rsidP="00B35A67">
      <w:pPr>
        <w:autoSpaceDE w:val="0"/>
        <w:autoSpaceDN w:val="0"/>
        <w:bidi w:val="0"/>
        <w:adjustRightInd w:val="0"/>
        <w:spacing w:line="360" w:lineRule="auto"/>
        <w:ind w:left="540" w:hanging="540"/>
        <w:jc w:val="both"/>
        <w:rPr>
          <w:rFonts w:asciiTheme="majorBidi" w:hAnsiTheme="majorBidi" w:cstheme="majorBidi"/>
          <w:sz w:val="28"/>
          <w:szCs w:val="28"/>
          <w:lang w:bidi="ar-EG"/>
        </w:rPr>
      </w:pPr>
      <w:proofErr w:type="spellStart"/>
      <w:r w:rsidRPr="008144F5">
        <w:rPr>
          <w:rFonts w:asciiTheme="majorBidi" w:hAnsiTheme="majorBidi" w:cstheme="majorBidi"/>
          <w:sz w:val="28"/>
          <w:szCs w:val="28"/>
          <w:lang w:bidi="ar-EG"/>
        </w:rPr>
        <w:t>Abdelfatah</w:t>
      </w:r>
      <w:proofErr w:type="spellEnd"/>
      <w:r w:rsidRPr="008144F5">
        <w:rPr>
          <w:rFonts w:asciiTheme="majorBidi" w:hAnsiTheme="majorBidi" w:cstheme="majorBidi"/>
          <w:sz w:val="28"/>
          <w:szCs w:val="28"/>
          <w:lang w:bidi="ar-EG"/>
        </w:rPr>
        <w:t xml:space="preserve">, M. A., A. E. </w:t>
      </w:r>
      <w:proofErr w:type="spellStart"/>
      <w:r w:rsidRPr="008144F5">
        <w:rPr>
          <w:rFonts w:asciiTheme="majorBidi" w:hAnsiTheme="majorBidi" w:cstheme="majorBidi"/>
          <w:sz w:val="28"/>
          <w:szCs w:val="28"/>
          <w:lang w:bidi="ar-EG"/>
        </w:rPr>
        <w:t>Mousa</w:t>
      </w:r>
      <w:proofErr w:type="spellEnd"/>
      <w:r w:rsidRPr="008144F5">
        <w:rPr>
          <w:rFonts w:asciiTheme="majorBidi" w:hAnsiTheme="majorBidi" w:cstheme="majorBidi"/>
          <w:sz w:val="28"/>
          <w:szCs w:val="28"/>
          <w:lang w:bidi="ar-EG"/>
        </w:rPr>
        <w:t xml:space="preserve">, I. M. </w:t>
      </w:r>
      <w:proofErr w:type="spellStart"/>
      <w:r w:rsidRPr="008144F5">
        <w:rPr>
          <w:rFonts w:asciiTheme="majorBidi" w:hAnsiTheme="majorBidi" w:cstheme="majorBidi"/>
          <w:sz w:val="28"/>
          <w:szCs w:val="28"/>
          <w:lang w:bidi="ar-EG"/>
        </w:rPr>
        <w:t>Salama</w:t>
      </w:r>
      <w:proofErr w:type="spellEnd"/>
      <w:r w:rsidRPr="008144F5">
        <w:rPr>
          <w:rFonts w:asciiTheme="majorBidi" w:hAnsiTheme="majorBidi" w:cstheme="majorBidi"/>
          <w:sz w:val="28"/>
          <w:szCs w:val="28"/>
          <w:lang w:bidi="ar-EG"/>
        </w:rPr>
        <w:t>, and G. S. El-</w:t>
      </w:r>
      <w:proofErr w:type="spellStart"/>
      <w:r w:rsidRPr="008144F5">
        <w:rPr>
          <w:rFonts w:asciiTheme="majorBidi" w:hAnsiTheme="majorBidi" w:cstheme="majorBidi"/>
          <w:sz w:val="28"/>
          <w:szCs w:val="28"/>
          <w:lang w:bidi="ar-EG"/>
        </w:rPr>
        <w:t>Fiky</w:t>
      </w:r>
      <w:proofErr w:type="spellEnd"/>
      <w:r w:rsidRPr="008144F5">
        <w:rPr>
          <w:rFonts w:asciiTheme="majorBidi" w:hAnsiTheme="majorBidi" w:cstheme="majorBidi"/>
          <w:sz w:val="28"/>
          <w:szCs w:val="28"/>
          <w:lang w:bidi="ar-EG"/>
        </w:rPr>
        <w:t>, (2009). "Assessment of tropospheric delay models in GPS baseline data analysis: A case study of a regional network at Upper Egypt", Journal of Civil Engineering Research Magazine, Vol. 31, No. 4, pp. 1143–1156.</w:t>
      </w:r>
    </w:p>
    <w:p w:rsidR="008144F5" w:rsidRDefault="008144F5" w:rsidP="00B35A67">
      <w:pPr>
        <w:autoSpaceDE w:val="0"/>
        <w:autoSpaceDN w:val="0"/>
        <w:bidi w:val="0"/>
        <w:adjustRightInd w:val="0"/>
        <w:spacing w:line="360" w:lineRule="auto"/>
        <w:ind w:left="540" w:hanging="540"/>
        <w:jc w:val="both"/>
        <w:rPr>
          <w:rFonts w:asciiTheme="majorBidi" w:hAnsiTheme="majorBidi" w:cstheme="majorBidi"/>
          <w:sz w:val="28"/>
          <w:szCs w:val="28"/>
          <w:lang w:bidi="ar-EG"/>
        </w:rPr>
      </w:pPr>
      <w:proofErr w:type="spellStart"/>
      <w:r w:rsidRPr="00190EC7">
        <w:rPr>
          <w:rFonts w:asciiTheme="majorBidi" w:hAnsiTheme="majorBidi" w:cstheme="majorBidi"/>
          <w:sz w:val="28"/>
          <w:szCs w:val="28"/>
          <w:lang w:bidi="ar-EG"/>
        </w:rPr>
        <w:t>Abdelfatah</w:t>
      </w:r>
      <w:proofErr w:type="spellEnd"/>
      <w:r w:rsidRPr="00190EC7">
        <w:rPr>
          <w:rFonts w:asciiTheme="majorBidi" w:hAnsiTheme="majorBidi" w:cstheme="majorBidi"/>
          <w:sz w:val="28"/>
          <w:szCs w:val="28"/>
          <w:lang w:bidi="ar-EG"/>
        </w:rPr>
        <w:t xml:space="preserve">, M. A., A. E. </w:t>
      </w:r>
      <w:proofErr w:type="spellStart"/>
      <w:r w:rsidRPr="00190EC7">
        <w:rPr>
          <w:rFonts w:asciiTheme="majorBidi" w:hAnsiTheme="majorBidi" w:cstheme="majorBidi"/>
          <w:sz w:val="28"/>
          <w:szCs w:val="28"/>
          <w:lang w:bidi="ar-EG"/>
        </w:rPr>
        <w:t>Mousa</w:t>
      </w:r>
      <w:proofErr w:type="spellEnd"/>
      <w:r w:rsidRPr="00190EC7">
        <w:rPr>
          <w:rFonts w:asciiTheme="majorBidi" w:hAnsiTheme="majorBidi" w:cstheme="majorBidi"/>
          <w:sz w:val="28"/>
          <w:szCs w:val="28"/>
          <w:lang w:bidi="ar-EG"/>
        </w:rPr>
        <w:t>, and G. S.  El-</w:t>
      </w:r>
      <w:proofErr w:type="spellStart"/>
      <w:r w:rsidRPr="00190EC7">
        <w:rPr>
          <w:rFonts w:asciiTheme="majorBidi" w:hAnsiTheme="majorBidi" w:cstheme="majorBidi"/>
          <w:sz w:val="28"/>
          <w:szCs w:val="28"/>
          <w:lang w:bidi="ar-EG"/>
        </w:rPr>
        <w:t>Fiky</w:t>
      </w:r>
      <w:proofErr w:type="spellEnd"/>
      <w:r w:rsidRPr="00190EC7">
        <w:rPr>
          <w:rFonts w:asciiTheme="majorBidi" w:hAnsiTheme="majorBidi" w:cstheme="majorBidi"/>
          <w:sz w:val="28"/>
          <w:szCs w:val="28"/>
          <w:lang w:bidi="ar-EG"/>
        </w:rPr>
        <w:t xml:space="preserve"> (2015), "Precise Troposphere Delay Model for Egypt, as Derived from Radiosonde Data", Journal of NRIAG Manuscript Number: NRIAG-D-14-00033R1.</w:t>
      </w:r>
    </w:p>
    <w:p w:rsidR="007B1FAD" w:rsidRPr="00D31940" w:rsidRDefault="007B1FAD" w:rsidP="007B1FAD">
      <w:pPr>
        <w:pStyle w:val="Literatur"/>
        <w:widowControl w:val="0"/>
        <w:spacing w:after="0" w:line="360" w:lineRule="auto"/>
        <w:ind w:left="547" w:right="29" w:hanging="547"/>
        <w:rPr>
          <w:color w:val="000000"/>
          <w:sz w:val="28"/>
          <w:szCs w:val="28"/>
          <w:lang w:bidi="ar-EG"/>
        </w:rPr>
      </w:pPr>
      <w:r w:rsidRPr="00D31940">
        <w:rPr>
          <w:color w:val="000000"/>
          <w:sz w:val="28"/>
          <w:szCs w:val="28"/>
          <w:lang w:bidi="ar-EG"/>
        </w:rPr>
        <w:t xml:space="preserve">Boehm, J., B. </w:t>
      </w:r>
      <w:proofErr w:type="spellStart"/>
      <w:r w:rsidRPr="00D31940">
        <w:rPr>
          <w:color w:val="000000"/>
          <w:sz w:val="28"/>
          <w:szCs w:val="28"/>
          <w:lang w:bidi="ar-EG"/>
        </w:rPr>
        <w:t>Werl</w:t>
      </w:r>
      <w:proofErr w:type="spellEnd"/>
      <w:r w:rsidRPr="00D31940">
        <w:rPr>
          <w:color w:val="000000"/>
          <w:sz w:val="28"/>
          <w:szCs w:val="28"/>
          <w:lang w:bidi="ar-EG"/>
        </w:rPr>
        <w:t xml:space="preserve">, and H. </w:t>
      </w:r>
      <w:proofErr w:type="spellStart"/>
      <w:r w:rsidRPr="00D31940">
        <w:rPr>
          <w:color w:val="000000"/>
          <w:sz w:val="28"/>
          <w:szCs w:val="28"/>
          <w:lang w:bidi="ar-EG"/>
        </w:rPr>
        <w:t>Schuh</w:t>
      </w:r>
      <w:proofErr w:type="spellEnd"/>
      <w:r w:rsidRPr="00D31940">
        <w:rPr>
          <w:color w:val="000000"/>
          <w:sz w:val="28"/>
          <w:szCs w:val="28"/>
          <w:lang w:bidi="ar-EG"/>
        </w:rPr>
        <w:t>, (2006). "Troposphere mapping functions for GPS and VLBI from ECMWF operational analysis data", Journal of Geophysical Research, Vol. 111, B02406, doi</w:t>
      </w:r>
      <w:proofErr w:type="gramStart"/>
      <w:r w:rsidRPr="00D31940">
        <w:rPr>
          <w:color w:val="000000"/>
          <w:sz w:val="28"/>
          <w:szCs w:val="28"/>
          <w:lang w:bidi="ar-EG"/>
        </w:rPr>
        <w:t>:10.1029</w:t>
      </w:r>
      <w:proofErr w:type="gramEnd"/>
      <w:r w:rsidRPr="00D31940">
        <w:rPr>
          <w:color w:val="000000"/>
          <w:sz w:val="28"/>
          <w:szCs w:val="28"/>
          <w:lang w:bidi="ar-EG"/>
        </w:rPr>
        <w:t>/2005JB003629.</w:t>
      </w:r>
    </w:p>
    <w:p w:rsidR="007B1FAD" w:rsidRPr="00326468" w:rsidRDefault="007B1FAD" w:rsidP="007B1FAD">
      <w:pPr>
        <w:pStyle w:val="Literatur"/>
        <w:widowControl w:val="0"/>
        <w:spacing w:after="0" w:line="360" w:lineRule="auto"/>
        <w:ind w:left="547" w:right="29" w:hanging="547"/>
        <w:rPr>
          <w:color w:val="000000"/>
          <w:sz w:val="12"/>
          <w:szCs w:val="12"/>
          <w:lang w:bidi="ar-EG"/>
        </w:rPr>
      </w:pPr>
    </w:p>
    <w:p w:rsidR="007B1FAD" w:rsidRPr="007B1FAD" w:rsidRDefault="007B1FAD" w:rsidP="007B1FAD">
      <w:pPr>
        <w:pStyle w:val="Literatur"/>
        <w:widowControl w:val="0"/>
        <w:spacing w:after="0" w:line="360" w:lineRule="auto"/>
        <w:ind w:left="547" w:right="29" w:hanging="547"/>
        <w:rPr>
          <w:rFonts w:asciiTheme="majorBidi" w:hAnsiTheme="majorBidi" w:cstheme="majorBidi"/>
          <w:sz w:val="28"/>
          <w:szCs w:val="28"/>
          <w:lang w:bidi="ar-EG"/>
        </w:rPr>
      </w:pPr>
      <w:r>
        <w:rPr>
          <w:color w:val="000000"/>
          <w:sz w:val="28"/>
          <w:szCs w:val="28"/>
          <w:lang w:bidi="ar-EG"/>
        </w:rPr>
        <w:t>Boe</w:t>
      </w:r>
      <w:r w:rsidRPr="00536DC9">
        <w:rPr>
          <w:color w:val="000000"/>
          <w:sz w:val="28"/>
          <w:szCs w:val="28"/>
          <w:lang w:bidi="ar-EG"/>
        </w:rPr>
        <w:t>hm</w:t>
      </w:r>
      <w:r>
        <w:rPr>
          <w:color w:val="000000"/>
          <w:sz w:val="28"/>
          <w:szCs w:val="28"/>
          <w:lang w:bidi="ar-EG"/>
        </w:rPr>
        <w:t xml:space="preserve">, </w:t>
      </w:r>
      <w:r w:rsidRPr="00536DC9">
        <w:rPr>
          <w:color w:val="000000"/>
          <w:sz w:val="28"/>
          <w:szCs w:val="28"/>
          <w:lang w:bidi="ar-EG"/>
        </w:rPr>
        <w:t xml:space="preserve">J. and H. </w:t>
      </w:r>
      <w:proofErr w:type="spellStart"/>
      <w:r w:rsidRPr="00536DC9">
        <w:rPr>
          <w:color w:val="000000"/>
          <w:sz w:val="28"/>
          <w:szCs w:val="28"/>
          <w:lang w:bidi="ar-EG"/>
        </w:rPr>
        <w:t>Schuh</w:t>
      </w:r>
      <w:proofErr w:type="spellEnd"/>
      <w:r>
        <w:rPr>
          <w:color w:val="000000"/>
          <w:sz w:val="28"/>
          <w:szCs w:val="28"/>
          <w:lang w:bidi="ar-EG"/>
        </w:rPr>
        <w:t>, (2007)</w:t>
      </w:r>
      <w:r w:rsidRPr="00536DC9">
        <w:rPr>
          <w:color w:val="000000"/>
          <w:sz w:val="28"/>
          <w:szCs w:val="28"/>
          <w:lang w:bidi="ar-EG"/>
        </w:rPr>
        <w:t xml:space="preserve">, </w:t>
      </w:r>
      <w:r>
        <w:rPr>
          <w:color w:val="000000"/>
          <w:sz w:val="28"/>
          <w:szCs w:val="28"/>
          <w:lang w:bidi="ar-EG"/>
        </w:rPr>
        <w:t>"</w:t>
      </w:r>
      <w:r w:rsidRPr="00536DC9">
        <w:rPr>
          <w:color w:val="000000"/>
          <w:sz w:val="28"/>
          <w:szCs w:val="28"/>
          <w:lang w:bidi="ar-EG"/>
        </w:rPr>
        <w:t>Troposphere Gradients from the ECMWF in VLBI analysis</w:t>
      </w:r>
      <w:r>
        <w:rPr>
          <w:color w:val="000000"/>
          <w:sz w:val="28"/>
          <w:szCs w:val="28"/>
          <w:lang w:bidi="ar-EG"/>
        </w:rPr>
        <w:t>"</w:t>
      </w:r>
      <w:r w:rsidRPr="00536DC9">
        <w:rPr>
          <w:color w:val="000000"/>
          <w:sz w:val="28"/>
          <w:szCs w:val="28"/>
          <w:lang w:bidi="ar-EG"/>
        </w:rPr>
        <w:t>, Journal of Geodesy, Vol. 81, No. 6-8, pp 409-421, doi:</w:t>
      </w:r>
      <w:r>
        <w:rPr>
          <w:color w:val="000000"/>
          <w:sz w:val="28"/>
          <w:szCs w:val="28"/>
          <w:lang w:bidi="ar-EG"/>
        </w:rPr>
        <w:t>10.1007/s00190-006-0126-9</w:t>
      </w:r>
      <w:r w:rsidRPr="00536DC9">
        <w:rPr>
          <w:color w:val="000000"/>
          <w:sz w:val="28"/>
          <w:szCs w:val="28"/>
          <w:lang w:bidi="ar-EG"/>
        </w:rPr>
        <w:t>.</w:t>
      </w:r>
    </w:p>
    <w:p w:rsidR="003558F5" w:rsidRDefault="003558F5" w:rsidP="00B35A67">
      <w:pPr>
        <w:autoSpaceDE w:val="0"/>
        <w:autoSpaceDN w:val="0"/>
        <w:bidi w:val="0"/>
        <w:adjustRightInd w:val="0"/>
        <w:spacing w:line="360" w:lineRule="auto"/>
        <w:ind w:left="540" w:hanging="540"/>
        <w:jc w:val="both"/>
        <w:rPr>
          <w:rFonts w:asciiTheme="majorBidi" w:hAnsiTheme="majorBidi" w:cstheme="majorBidi"/>
          <w:sz w:val="28"/>
          <w:szCs w:val="28"/>
          <w:lang w:bidi="ar-EG"/>
        </w:rPr>
      </w:pPr>
      <w:r w:rsidRPr="008144F5">
        <w:rPr>
          <w:rFonts w:asciiTheme="majorBidi" w:hAnsiTheme="majorBidi" w:cstheme="majorBidi"/>
          <w:sz w:val="28"/>
          <w:szCs w:val="28"/>
          <w:lang w:bidi="ar-EG"/>
        </w:rPr>
        <w:t xml:space="preserve">Collins, J. P., Langley, R. B. (2003). "The residual tropospheric propagation delay: How bad can it get?" Geodetic Research Laboratory, Department of Geodesy and Geomatics Engineering, University of New Brunswick, </w:t>
      </w:r>
      <w:proofErr w:type="spellStart"/>
      <w:r w:rsidRPr="008144F5">
        <w:rPr>
          <w:rFonts w:asciiTheme="majorBidi" w:hAnsiTheme="majorBidi" w:cstheme="majorBidi"/>
          <w:sz w:val="28"/>
          <w:szCs w:val="28"/>
          <w:lang w:bidi="ar-EG"/>
        </w:rPr>
        <w:t>Frederiction</w:t>
      </w:r>
      <w:proofErr w:type="spellEnd"/>
      <w:r w:rsidRPr="008144F5">
        <w:rPr>
          <w:rFonts w:asciiTheme="majorBidi" w:hAnsiTheme="majorBidi" w:cstheme="majorBidi"/>
          <w:sz w:val="28"/>
          <w:szCs w:val="28"/>
          <w:lang w:bidi="ar-EG"/>
        </w:rPr>
        <w:t>, N.B., Canada.</w:t>
      </w:r>
    </w:p>
    <w:p w:rsidR="007B1FAD" w:rsidRPr="007B1FAD" w:rsidRDefault="007B1FAD" w:rsidP="007B1FAD">
      <w:pPr>
        <w:pStyle w:val="Literatur"/>
        <w:spacing w:after="0" w:line="360" w:lineRule="auto"/>
        <w:ind w:left="540" w:right="26" w:hanging="540"/>
        <w:rPr>
          <w:color w:val="000000"/>
          <w:sz w:val="28"/>
          <w:szCs w:val="28"/>
          <w:lang w:bidi="ar-EG"/>
        </w:rPr>
      </w:pPr>
      <w:r w:rsidRPr="00D31940">
        <w:rPr>
          <w:color w:val="000000"/>
          <w:sz w:val="28"/>
          <w:szCs w:val="28"/>
          <w:lang w:bidi="ar-EG"/>
        </w:rPr>
        <w:t>Cove, K. (2005). ''Improvements in GPS tropospheric delay estimation with numerical weather prediction'', Ph.D. thesis, University of New Brunswick P.O. Box 4400, Fredericton, N.B. Canada, E3B 5A3 .</w:t>
      </w:r>
    </w:p>
    <w:p w:rsidR="003558F5" w:rsidRPr="008144F5" w:rsidRDefault="003558F5" w:rsidP="00B35A67">
      <w:pPr>
        <w:autoSpaceDE w:val="0"/>
        <w:autoSpaceDN w:val="0"/>
        <w:bidi w:val="0"/>
        <w:adjustRightInd w:val="0"/>
        <w:spacing w:line="360" w:lineRule="auto"/>
        <w:ind w:left="540" w:hanging="540"/>
        <w:jc w:val="both"/>
        <w:rPr>
          <w:rFonts w:asciiTheme="majorBidi" w:hAnsiTheme="majorBidi" w:cstheme="majorBidi"/>
          <w:sz w:val="28"/>
          <w:szCs w:val="28"/>
          <w:lang w:bidi="ar-EG"/>
        </w:rPr>
      </w:pPr>
      <w:proofErr w:type="spellStart"/>
      <w:r w:rsidRPr="008144F5">
        <w:rPr>
          <w:rFonts w:asciiTheme="majorBidi" w:hAnsiTheme="majorBidi" w:cstheme="majorBidi"/>
          <w:sz w:val="28"/>
          <w:szCs w:val="28"/>
          <w:lang w:bidi="ar-EG"/>
        </w:rPr>
        <w:t>Dach</w:t>
      </w:r>
      <w:proofErr w:type="spellEnd"/>
      <w:r w:rsidRPr="008144F5">
        <w:rPr>
          <w:rFonts w:asciiTheme="majorBidi" w:hAnsiTheme="majorBidi" w:cstheme="majorBidi"/>
          <w:sz w:val="28"/>
          <w:szCs w:val="28"/>
          <w:lang w:bidi="ar-EG"/>
        </w:rPr>
        <w:t xml:space="preserve">, R., U. </w:t>
      </w:r>
      <w:proofErr w:type="spellStart"/>
      <w:r w:rsidRPr="008144F5">
        <w:rPr>
          <w:rFonts w:asciiTheme="majorBidi" w:hAnsiTheme="majorBidi" w:cstheme="majorBidi"/>
          <w:sz w:val="28"/>
          <w:szCs w:val="28"/>
          <w:lang w:bidi="ar-EG"/>
        </w:rPr>
        <w:t>Hugentobler</w:t>
      </w:r>
      <w:proofErr w:type="spellEnd"/>
      <w:r w:rsidRPr="008144F5">
        <w:rPr>
          <w:rFonts w:asciiTheme="majorBidi" w:hAnsiTheme="majorBidi" w:cstheme="majorBidi"/>
          <w:sz w:val="28"/>
          <w:szCs w:val="28"/>
          <w:lang w:bidi="ar-EG"/>
        </w:rPr>
        <w:t xml:space="preserve">, P. </w:t>
      </w:r>
      <w:proofErr w:type="spellStart"/>
      <w:r w:rsidRPr="008144F5">
        <w:rPr>
          <w:rFonts w:asciiTheme="majorBidi" w:hAnsiTheme="majorBidi" w:cstheme="majorBidi"/>
          <w:sz w:val="28"/>
          <w:szCs w:val="28"/>
          <w:lang w:bidi="ar-EG"/>
        </w:rPr>
        <w:t>Fridez</w:t>
      </w:r>
      <w:proofErr w:type="spellEnd"/>
      <w:r w:rsidRPr="008144F5">
        <w:rPr>
          <w:rFonts w:asciiTheme="majorBidi" w:hAnsiTheme="majorBidi" w:cstheme="majorBidi"/>
          <w:sz w:val="28"/>
          <w:szCs w:val="28"/>
          <w:lang w:bidi="ar-EG"/>
        </w:rPr>
        <w:t xml:space="preserve">, M. </w:t>
      </w:r>
      <w:proofErr w:type="spellStart"/>
      <w:r w:rsidRPr="008144F5">
        <w:rPr>
          <w:rFonts w:asciiTheme="majorBidi" w:hAnsiTheme="majorBidi" w:cstheme="majorBidi"/>
          <w:sz w:val="28"/>
          <w:szCs w:val="28"/>
          <w:lang w:bidi="ar-EG"/>
        </w:rPr>
        <w:t>Meindl</w:t>
      </w:r>
      <w:proofErr w:type="spellEnd"/>
      <w:r w:rsidRPr="008144F5">
        <w:rPr>
          <w:rFonts w:asciiTheme="majorBidi" w:hAnsiTheme="majorBidi" w:cstheme="majorBidi"/>
          <w:sz w:val="28"/>
          <w:szCs w:val="28"/>
          <w:lang w:bidi="ar-EG"/>
        </w:rPr>
        <w:t>, (2007). "User manual of the Bernese GPS Software version 5.0", Astronomical Institute, University of Bern.</w:t>
      </w:r>
    </w:p>
    <w:p w:rsidR="003558F5" w:rsidRPr="008144F5" w:rsidRDefault="003558F5" w:rsidP="00B35A67">
      <w:pPr>
        <w:autoSpaceDE w:val="0"/>
        <w:autoSpaceDN w:val="0"/>
        <w:bidi w:val="0"/>
        <w:adjustRightInd w:val="0"/>
        <w:spacing w:line="360" w:lineRule="auto"/>
        <w:ind w:left="540" w:hanging="540"/>
        <w:jc w:val="both"/>
        <w:rPr>
          <w:rFonts w:asciiTheme="majorBidi" w:hAnsiTheme="majorBidi" w:cstheme="majorBidi"/>
          <w:color w:val="0000FF"/>
          <w:sz w:val="28"/>
          <w:szCs w:val="28"/>
          <w:u w:val="single"/>
          <w:lang w:bidi="ar-EG"/>
        </w:rPr>
      </w:pPr>
      <w:r w:rsidRPr="008144F5">
        <w:rPr>
          <w:rFonts w:asciiTheme="majorBidi" w:hAnsiTheme="majorBidi" w:cstheme="majorBidi"/>
          <w:sz w:val="28"/>
          <w:szCs w:val="28"/>
          <w:lang w:bidi="ar-EG"/>
        </w:rPr>
        <w:lastRenderedPageBreak/>
        <w:t xml:space="preserve">IERS (2010). IERS Convention, IERS Technical Note 36, available at </w:t>
      </w:r>
      <w:hyperlink w:history="1">
        <w:r w:rsidRPr="008144F5">
          <w:rPr>
            <w:rFonts w:asciiTheme="majorBidi" w:hAnsiTheme="majorBidi" w:cstheme="majorBidi"/>
            <w:color w:val="0000FF"/>
            <w:u w:val="single"/>
          </w:rPr>
          <w:t>http:// www.iers.org/IERS/EN/Publications/TechnicalNotes/tn36</w:t>
        </w:r>
      </w:hyperlink>
      <w:r w:rsidRPr="008144F5">
        <w:rPr>
          <w:rFonts w:asciiTheme="majorBidi" w:hAnsiTheme="majorBidi" w:cstheme="majorBidi"/>
          <w:color w:val="0000FF"/>
          <w:sz w:val="28"/>
          <w:szCs w:val="28"/>
          <w:u w:val="single"/>
          <w:lang w:bidi="ar-EG"/>
        </w:rPr>
        <w:t>.html/</w:t>
      </w:r>
    </w:p>
    <w:p w:rsidR="003558F5" w:rsidRPr="008144F5" w:rsidRDefault="003558F5" w:rsidP="00B35A67">
      <w:pPr>
        <w:autoSpaceDE w:val="0"/>
        <w:autoSpaceDN w:val="0"/>
        <w:bidi w:val="0"/>
        <w:adjustRightInd w:val="0"/>
        <w:spacing w:line="360" w:lineRule="auto"/>
        <w:ind w:left="540" w:hanging="540"/>
        <w:jc w:val="both"/>
        <w:rPr>
          <w:rFonts w:asciiTheme="majorBidi" w:hAnsiTheme="majorBidi" w:cstheme="majorBidi"/>
          <w:sz w:val="28"/>
          <w:szCs w:val="28"/>
          <w:lang w:bidi="ar-EG"/>
        </w:rPr>
      </w:pPr>
      <w:proofErr w:type="spellStart"/>
      <w:r w:rsidRPr="008144F5">
        <w:rPr>
          <w:rFonts w:asciiTheme="majorBidi" w:hAnsiTheme="majorBidi" w:cstheme="majorBidi"/>
          <w:sz w:val="28"/>
          <w:szCs w:val="28"/>
          <w:lang w:bidi="ar-EG"/>
        </w:rPr>
        <w:t>Meindl</w:t>
      </w:r>
      <w:proofErr w:type="spellEnd"/>
      <w:r w:rsidRPr="008144F5">
        <w:rPr>
          <w:rFonts w:asciiTheme="majorBidi" w:hAnsiTheme="majorBidi" w:cstheme="majorBidi"/>
          <w:sz w:val="28"/>
          <w:szCs w:val="28"/>
          <w:lang w:bidi="ar-EG"/>
        </w:rPr>
        <w:t xml:space="preserve">, M., S. </w:t>
      </w:r>
      <w:proofErr w:type="spellStart"/>
      <w:r w:rsidRPr="008144F5">
        <w:rPr>
          <w:rFonts w:asciiTheme="majorBidi" w:hAnsiTheme="majorBidi" w:cstheme="majorBidi"/>
          <w:sz w:val="28"/>
          <w:szCs w:val="28"/>
          <w:lang w:bidi="ar-EG"/>
        </w:rPr>
        <w:t>Schaer</w:t>
      </w:r>
      <w:proofErr w:type="spellEnd"/>
      <w:r w:rsidRPr="008144F5">
        <w:rPr>
          <w:rFonts w:asciiTheme="majorBidi" w:hAnsiTheme="majorBidi" w:cstheme="majorBidi"/>
          <w:sz w:val="28"/>
          <w:szCs w:val="28"/>
          <w:lang w:bidi="ar-EG"/>
        </w:rPr>
        <w:t xml:space="preserve">, U. </w:t>
      </w:r>
      <w:proofErr w:type="spellStart"/>
      <w:r w:rsidRPr="008144F5">
        <w:rPr>
          <w:rFonts w:asciiTheme="majorBidi" w:hAnsiTheme="majorBidi" w:cstheme="majorBidi"/>
          <w:sz w:val="28"/>
          <w:szCs w:val="28"/>
          <w:lang w:bidi="ar-EG"/>
        </w:rPr>
        <w:t>Hugentobler</w:t>
      </w:r>
      <w:proofErr w:type="spellEnd"/>
      <w:r w:rsidRPr="008144F5">
        <w:rPr>
          <w:rFonts w:asciiTheme="majorBidi" w:hAnsiTheme="majorBidi" w:cstheme="majorBidi"/>
          <w:sz w:val="28"/>
          <w:szCs w:val="28"/>
          <w:lang w:bidi="ar-EG"/>
        </w:rPr>
        <w:t xml:space="preserve">, and G. </w:t>
      </w:r>
      <w:proofErr w:type="spellStart"/>
      <w:r w:rsidRPr="008144F5">
        <w:rPr>
          <w:rFonts w:asciiTheme="majorBidi" w:hAnsiTheme="majorBidi" w:cstheme="majorBidi"/>
          <w:sz w:val="28"/>
          <w:szCs w:val="28"/>
          <w:lang w:bidi="ar-EG"/>
        </w:rPr>
        <w:t>Beutler</w:t>
      </w:r>
      <w:proofErr w:type="spellEnd"/>
      <w:r w:rsidRPr="008144F5">
        <w:rPr>
          <w:rFonts w:asciiTheme="majorBidi" w:hAnsiTheme="majorBidi" w:cstheme="majorBidi"/>
          <w:sz w:val="28"/>
          <w:szCs w:val="28"/>
          <w:lang w:bidi="ar-EG"/>
        </w:rPr>
        <w:t xml:space="preserve"> (2004), "Tropospheric gradient estimation at CODE: Results from global solutions, in applications of GPS remote sensing to meteorology and related fields", Vol. 82(1B) of Journal of the Meteorological Society of Japan, edited by R. A. </w:t>
      </w:r>
      <w:proofErr w:type="spellStart"/>
      <w:r w:rsidRPr="008144F5">
        <w:rPr>
          <w:rFonts w:asciiTheme="majorBidi" w:hAnsiTheme="majorBidi" w:cstheme="majorBidi"/>
          <w:sz w:val="28"/>
          <w:szCs w:val="28"/>
          <w:lang w:bidi="ar-EG"/>
        </w:rPr>
        <w:t>Anthes</w:t>
      </w:r>
      <w:proofErr w:type="spellEnd"/>
      <w:r w:rsidRPr="008144F5">
        <w:rPr>
          <w:rFonts w:asciiTheme="majorBidi" w:hAnsiTheme="majorBidi" w:cstheme="majorBidi"/>
          <w:sz w:val="28"/>
          <w:szCs w:val="28"/>
          <w:lang w:bidi="ar-EG"/>
        </w:rPr>
        <w:t>, pp. 331–338.</w:t>
      </w:r>
    </w:p>
    <w:p w:rsidR="003558F5" w:rsidRPr="003558F5" w:rsidRDefault="003558F5" w:rsidP="00B35A67">
      <w:pPr>
        <w:autoSpaceDE w:val="0"/>
        <w:autoSpaceDN w:val="0"/>
        <w:bidi w:val="0"/>
        <w:adjustRightInd w:val="0"/>
        <w:spacing w:line="360" w:lineRule="auto"/>
        <w:ind w:left="540" w:hanging="540"/>
        <w:jc w:val="both"/>
        <w:rPr>
          <w:rFonts w:asciiTheme="majorBidi" w:hAnsiTheme="majorBidi" w:cstheme="majorBidi"/>
          <w:sz w:val="28"/>
          <w:szCs w:val="28"/>
          <w:lang w:val="en-GB" w:bidi="ar-EG"/>
        </w:rPr>
      </w:pPr>
    </w:p>
    <w:sectPr w:rsidR="003558F5" w:rsidRPr="003558F5" w:rsidSect="003A4B9D">
      <w:footerReference w:type="default" r:id="rId22"/>
      <w:footerReference w:type="first" r:id="rId23"/>
      <w:pgSz w:w="11907" w:h="16840" w:code="9"/>
      <w:pgMar w:top="1440" w:right="1440" w:bottom="1440" w:left="1800" w:header="720" w:footer="720" w:gutter="0"/>
      <w:pgNumType w:start="1"/>
      <w:cols w:space="720" w:equalWidth="0">
        <w:col w:w="8768"/>
      </w:cols>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C32" w:rsidRDefault="007A3C32">
      <w:r>
        <w:separator/>
      </w:r>
    </w:p>
  </w:endnote>
  <w:endnote w:type="continuationSeparator" w:id="0">
    <w:p w:rsidR="007A3C32" w:rsidRDefault="007A3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917548375"/>
      <w:docPartObj>
        <w:docPartGallery w:val="Page Numbers (Bottom of Page)"/>
        <w:docPartUnique/>
      </w:docPartObj>
    </w:sdtPr>
    <w:sdtEndPr/>
    <w:sdtContent>
      <w:p w:rsidR="0000640A" w:rsidRDefault="0000640A">
        <w:pPr>
          <w:pStyle w:val="Footer"/>
          <w:jc w:val="center"/>
        </w:pPr>
        <w:r>
          <w:fldChar w:fldCharType="begin"/>
        </w:r>
        <w:r>
          <w:instrText xml:space="preserve"> PAGE   \* MERGEFORMAT </w:instrText>
        </w:r>
        <w:r>
          <w:fldChar w:fldCharType="separate"/>
        </w:r>
        <w:r w:rsidR="008A73E4">
          <w:rPr>
            <w:noProof/>
            <w:rtl/>
          </w:rPr>
          <w:t>2</w:t>
        </w:r>
        <w:r>
          <w:rPr>
            <w:noProof/>
          </w:rPr>
          <w:fldChar w:fldCharType="end"/>
        </w:r>
      </w:p>
    </w:sdtContent>
  </w:sdt>
  <w:p w:rsidR="0000640A" w:rsidRDefault="0000640A" w:rsidP="004F64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958094461"/>
      <w:docPartObj>
        <w:docPartGallery w:val="Page Numbers (Bottom of Page)"/>
        <w:docPartUnique/>
      </w:docPartObj>
    </w:sdtPr>
    <w:sdtEndPr/>
    <w:sdtContent>
      <w:p w:rsidR="0000640A" w:rsidRDefault="0000640A">
        <w:pPr>
          <w:pStyle w:val="Footer"/>
          <w:jc w:val="center"/>
        </w:pPr>
        <w:r>
          <w:fldChar w:fldCharType="begin"/>
        </w:r>
        <w:r>
          <w:instrText xml:space="preserve"> PAGE   \* MERGEFORMAT </w:instrText>
        </w:r>
        <w:r>
          <w:fldChar w:fldCharType="separate"/>
        </w:r>
        <w:r w:rsidR="008A73E4">
          <w:rPr>
            <w:noProof/>
            <w:rtl/>
          </w:rPr>
          <w:t>1</w:t>
        </w:r>
        <w:r>
          <w:rPr>
            <w:noProof/>
          </w:rPr>
          <w:fldChar w:fldCharType="end"/>
        </w:r>
      </w:p>
    </w:sdtContent>
  </w:sdt>
  <w:p w:rsidR="0000640A" w:rsidRDefault="0000640A">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C32" w:rsidRDefault="007A3C32">
      <w:r>
        <w:separator/>
      </w:r>
    </w:p>
  </w:footnote>
  <w:footnote w:type="continuationSeparator" w:id="0">
    <w:p w:rsidR="007A3C32" w:rsidRDefault="007A3C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5A76E220"/>
    <w:lvl w:ilvl="0">
      <w:numFmt w:val="bullet"/>
      <w:lvlText w:val="*"/>
      <w:lvlJc w:val="left"/>
      <w:pPr>
        <w:ind w:left="0" w:firstLine="0"/>
      </w:pPr>
    </w:lvl>
  </w:abstractNum>
  <w:abstractNum w:abstractNumId="1" w15:restartNumberingAfterBreak="0">
    <w:nsid w:val="203C6263"/>
    <w:multiLevelType w:val="hybridMultilevel"/>
    <w:tmpl w:val="C5864F08"/>
    <w:lvl w:ilvl="0" w:tplc="0409000F">
      <w:start w:val="4"/>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FA7305"/>
    <w:multiLevelType w:val="hybridMultilevel"/>
    <w:tmpl w:val="BEF2D676"/>
    <w:lvl w:ilvl="0" w:tplc="5934A7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5D5043B"/>
    <w:multiLevelType w:val="hybridMultilevel"/>
    <w:tmpl w:val="F5D81058"/>
    <w:lvl w:ilvl="0" w:tplc="EE000C86">
      <w:start w:val="1"/>
      <w:numFmt w:val="decimal"/>
      <w:lvlText w:val="%1-"/>
      <w:lvlJc w:val="left"/>
      <w:pPr>
        <w:ind w:left="1020" w:hanging="6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603BDC"/>
    <w:multiLevelType w:val="singleLevel"/>
    <w:tmpl w:val="2C8A00DE"/>
    <w:lvl w:ilvl="0">
      <w:start w:val="1"/>
      <w:numFmt w:val="decimal"/>
      <w:lvlText w:val="%1."/>
      <w:legacy w:legacy="1" w:legacySpace="0" w:legacyIndent="283"/>
      <w:lvlJc w:val="left"/>
      <w:pPr>
        <w:ind w:left="0" w:hanging="283"/>
      </w:pPr>
    </w:lvl>
  </w:abstractNum>
  <w:abstractNum w:abstractNumId="5" w15:restartNumberingAfterBreak="0">
    <w:nsid w:val="35C2149E"/>
    <w:multiLevelType w:val="singleLevel"/>
    <w:tmpl w:val="2C8A00DE"/>
    <w:lvl w:ilvl="0">
      <w:start w:val="1"/>
      <w:numFmt w:val="decimal"/>
      <w:lvlText w:val="%1."/>
      <w:legacy w:legacy="1" w:legacySpace="0" w:legacyIndent="283"/>
      <w:lvlJc w:val="left"/>
      <w:pPr>
        <w:ind w:left="0" w:hanging="283"/>
      </w:pPr>
    </w:lvl>
  </w:abstractNum>
  <w:abstractNum w:abstractNumId="6" w15:restartNumberingAfterBreak="0">
    <w:nsid w:val="365A5BCC"/>
    <w:multiLevelType w:val="hybridMultilevel"/>
    <w:tmpl w:val="B0C292D8"/>
    <w:lvl w:ilvl="0" w:tplc="C03073C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D3DC8"/>
    <w:multiLevelType w:val="multilevel"/>
    <w:tmpl w:val="DC204A74"/>
    <w:lvl w:ilvl="0">
      <w:start w:val="4"/>
      <w:numFmt w:val="decimal"/>
      <w:lvlText w:val="%1"/>
      <w:lvlJc w:val="left"/>
      <w:pPr>
        <w:ind w:left="360" w:hanging="360"/>
      </w:pPr>
      <w:rPr>
        <w:rFonts w:hint="default"/>
        <w:sz w:val="26"/>
      </w:rPr>
    </w:lvl>
    <w:lvl w:ilvl="1">
      <w:start w:val="3"/>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440" w:hanging="1440"/>
      </w:pPr>
      <w:rPr>
        <w:rFonts w:hint="default"/>
        <w:sz w:val="26"/>
      </w:rPr>
    </w:lvl>
  </w:abstractNum>
  <w:abstractNum w:abstractNumId="8" w15:restartNumberingAfterBreak="0">
    <w:nsid w:val="443741F1"/>
    <w:multiLevelType w:val="multilevel"/>
    <w:tmpl w:val="37B6D2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imes New Roman" w:hAnsi="Times New Roman" w:cs="Times New Roman"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ascii="Times New Roman" w:hAnsi="Times New Roman" w:cs="Times New Roman" w:hint="default"/>
      </w:rPr>
    </w:lvl>
    <w:lvl w:ilvl="4">
      <w:start w:val="1"/>
      <w:numFmt w:val="decimal"/>
      <w:isLgl/>
      <w:lvlText w:val="%1.%2.%3.%4.%5."/>
      <w:lvlJc w:val="left"/>
      <w:pPr>
        <w:ind w:left="1440" w:hanging="1080"/>
      </w:pPr>
      <w:rPr>
        <w:rFonts w:ascii="Times New Roman" w:hAnsi="Times New Roman" w:cs="Times New Roman" w:hint="default"/>
      </w:rPr>
    </w:lvl>
    <w:lvl w:ilvl="5">
      <w:start w:val="1"/>
      <w:numFmt w:val="decimal"/>
      <w:isLgl/>
      <w:lvlText w:val="%1.%2.%3.%4.%5.%6."/>
      <w:lvlJc w:val="left"/>
      <w:pPr>
        <w:ind w:left="1800" w:hanging="1440"/>
      </w:pPr>
      <w:rPr>
        <w:rFonts w:ascii="Times New Roman" w:hAnsi="Times New Roman" w:cs="Times New Roman" w:hint="default"/>
      </w:rPr>
    </w:lvl>
    <w:lvl w:ilvl="6">
      <w:start w:val="1"/>
      <w:numFmt w:val="decimal"/>
      <w:isLgl/>
      <w:lvlText w:val="%1.%2.%3.%4.%5.%6.%7."/>
      <w:lvlJc w:val="left"/>
      <w:pPr>
        <w:ind w:left="2160" w:hanging="1800"/>
      </w:pPr>
      <w:rPr>
        <w:rFonts w:ascii="Times New Roman" w:hAnsi="Times New Roman" w:cs="Times New Roman" w:hint="default"/>
      </w:rPr>
    </w:lvl>
    <w:lvl w:ilvl="7">
      <w:start w:val="1"/>
      <w:numFmt w:val="decimal"/>
      <w:isLgl/>
      <w:lvlText w:val="%1.%2.%3.%4.%5.%6.%7.%8."/>
      <w:lvlJc w:val="left"/>
      <w:pPr>
        <w:ind w:left="2160" w:hanging="1800"/>
      </w:pPr>
      <w:rPr>
        <w:rFonts w:ascii="Times New Roman" w:hAnsi="Times New Roman" w:cs="Times New Roman" w:hint="default"/>
      </w:rPr>
    </w:lvl>
    <w:lvl w:ilvl="8">
      <w:start w:val="1"/>
      <w:numFmt w:val="decimal"/>
      <w:isLgl/>
      <w:lvlText w:val="%1.%2.%3.%4.%5.%6.%7.%8.%9."/>
      <w:lvlJc w:val="left"/>
      <w:pPr>
        <w:ind w:left="2520" w:hanging="2160"/>
      </w:pPr>
      <w:rPr>
        <w:rFonts w:ascii="Times New Roman" w:hAnsi="Times New Roman" w:cs="Times New Roman" w:hint="default"/>
      </w:rPr>
    </w:lvl>
  </w:abstractNum>
  <w:abstractNum w:abstractNumId="9" w15:restartNumberingAfterBreak="0">
    <w:nsid w:val="468351B7"/>
    <w:multiLevelType w:val="hybridMultilevel"/>
    <w:tmpl w:val="2566FF7C"/>
    <w:lvl w:ilvl="0" w:tplc="E5D2640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8EE04CF"/>
    <w:multiLevelType w:val="hybridMultilevel"/>
    <w:tmpl w:val="2C76315A"/>
    <w:lvl w:ilvl="0" w:tplc="8D42B0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51732F"/>
    <w:multiLevelType w:val="hybridMultilevel"/>
    <w:tmpl w:val="2BFCA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594E27"/>
    <w:multiLevelType w:val="singleLevel"/>
    <w:tmpl w:val="2C8A00DE"/>
    <w:lvl w:ilvl="0">
      <w:start w:val="1"/>
      <w:numFmt w:val="decimal"/>
      <w:lvlText w:val="%1."/>
      <w:legacy w:legacy="1" w:legacySpace="0" w:legacyIndent="283"/>
      <w:lvlJc w:val="left"/>
      <w:pPr>
        <w:ind w:left="0" w:hanging="283"/>
      </w:pPr>
    </w:lvl>
  </w:abstractNum>
  <w:abstractNum w:abstractNumId="13" w15:restartNumberingAfterBreak="0">
    <w:nsid w:val="6C7B744D"/>
    <w:multiLevelType w:val="hybridMultilevel"/>
    <w:tmpl w:val="C564275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0E027E"/>
    <w:multiLevelType w:val="hybridMultilevel"/>
    <w:tmpl w:val="7DEE7182"/>
    <w:lvl w:ilvl="0" w:tplc="A7F61FF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0563E8"/>
    <w:multiLevelType w:val="singleLevel"/>
    <w:tmpl w:val="2C8A00DE"/>
    <w:lvl w:ilvl="0">
      <w:start w:val="1"/>
      <w:numFmt w:val="decimal"/>
      <w:lvlText w:val="%1."/>
      <w:legacy w:legacy="1" w:legacySpace="0" w:legacyIndent="283"/>
      <w:lvlJc w:val="left"/>
      <w:pPr>
        <w:ind w:left="0" w:hanging="283"/>
      </w:pPr>
    </w:lvl>
  </w:abstractNum>
  <w:num w:numId="1">
    <w:abstractNumId w:val="4"/>
    <w:lvlOverride w:ilvl="0">
      <w:startOverride w:val="1"/>
    </w:lvlOverride>
  </w:num>
  <w:num w:numId="2">
    <w:abstractNumId w:val="0"/>
    <w:lvlOverride w:ilvl="0">
      <w:lvl w:ilvl="0">
        <w:numFmt w:val="bullet"/>
        <w:lvlText w:val=""/>
        <w:legacy w:legacy="1" w:legacySpace="0" w:legacyIndent="283"/>
        <w:lvlJc w:val="left"/>
        <w:pPr>
          <w:ind w:left="0" w:hanging="283"/>
        </w:pPr>
        <w:rPr>
          <w:rFonts w:ascii="Symbol" w:hAnsi="Symbol" w:hint="default"/>
        </w:rPr>
      </w:lvl>
    </w:lvlOverride>
  </w:num>
  <w:num w:numId="3">
    <w:abstractNumId w:val="5"/>
    <w:lvlOverride w:ilvl="0">
      <w:startOverride w:val="1"/>
    </w:lvlOverride>
  </w:num>
  <w:num w:numId="4">
    <w:abstractNumId w:val="12"/>
    <w:lvlOverride w:ilvl="0">
      <w:startOverride w:val="1"/>
    </w:lvlOverride>
  </w:num>
  <w:num w:numId="5">
    <w:abstractNumId w:val="15"/>
    <w:lvlOverride w:ilvl="0">
      <w:startOverride w:val="1"/>
    </w:lvlOverride>
  </w:num>
  <w:num w:numId="6">
    <w:abstractNumId w:val="7"/>
  </w:num>
  <w:num w:numId="7">
    <w:abstractNumId w:val="6"/>
  </w:num>
  <w:num w:numId="8">
    <w:abstractNumId w:val="14"/>
  </w:num>
  <w:num w:numId="9">
    <w:abstractNumId w:val="10"/>
  </w:num>
  <w:num w:numId="10">
    <w:abstractNumId w:val="9"/>
  </w:num>
  <w:num w:numId="11">
    <w:abstractNumId w:val="2"/>
  </w:num>
  <w:num w:numId="12">
    <w:abstractNumId w:val="11"/>
  </w:num>
  <w:num w:numId="13">
    <w:abstractNumId w:val="3"/>
  </w:num>
  <w:num w:numId="14">
    <w:abstractNumId w:val="8"/>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4ED"/>
    <w:rsid w:val="0000640A"/>
    <w:rsid w:val="0001026C"/>
    <w:rsid w:val="000226ED"/>
    <w:rsid w:val="0003289F"/>
    <w:rsid w:val="000B4B19"/>
    <w:rsid w:val="000E0F4D"/>
    <w:rsid w:val="000E3976"/>
    <w:rsid w:val="0014595F"/>
    <w:rsid w:val="00174FCA"/>
    <w:rsid w:val="001B30EA"/>
    <w:rsid w:val="001B6562"/>
    <w:rsid w:val="002245E4"/>
    <w:rsid w:val="00226B32"/>
    <w:rsid w:val="00257719"/>
    <w:rsid w:val="00265C36"/>
    <w:rsid w:val="002D5341"/>
    <w:rsid w:val="002F12D4"/>
    <w:rsid w:val="00302E58"/>
    <w:rsid w:val="003077CC"/>
    <w:rsid w:val="00317D0B"/>
    <w:rsid w:val="003558F5"/>
    <w:rsid w:val="003A2DD8"/>
    <w:rsid w:val="003A4B9D"/>
    <w:rsid w:val="003B4FD2"/>
    <w:rsid w:val="003F6E51"/>
    <w:rsid w:val="00447885"/>
    <w:rsid w:val="0045253F"/>
    <w:rsid w:val="0047399B"/>
    <w:rsid w:val="004905AE"/>
    <w:rsid w:val="004E4168"/>
    <w:rsid w:val="004F64ED"/>
    <w:rsid w:val="00522EBC"/>
    <w:rsid w:val="00584FF6"/>
    <w:rsid w:val="005C0F39"/>
    <w:rsid w:val="005C5047"/>
    <w:rsid w:val="005F3026"/>
    <w:rsid w:val="00624241"/>
    <w:rsid w:val="00631612"/>
    <w:rsid w:val="00633D28"/>
    <w:rsid w:val="00723DDF"/>
    <w:rsid w:val="007661E7"/>
    <w:rsid w:val="007A3C32"/>
    <w:rsid w:val="007B1FAD"/>
    <w:rsid w:val="007B490C"/>
    <w:rsid w:val="007B6AC4"/>
    <w:rsid w:val="007D5E77"/>
    <w:rsid w:val="007E2FB6"/>
    <w:rsid w:val="00800AEC"/>
    <w:rsid w:val="008144F5"/>
    <w:rsid w:val="00846FB2"/>
    <w:rsid w:val="008A73E4"/>
    <w:rsid w:val="008A7726"/>
    <w:rsid w:val="00953DBF"/>
    <w:rsid w:val="0095512A"/>
    <w:rsid w:val="00963CF4"/>
    <w:rsid w:val="009A5921"/>
    <w:rsid w:val="009A7D0C"/>
    <w:rsid w:val="009B3DEF"/>
    <w:rsid w:val="009D7978"/>
    <w:rsid w:val="00A125BF"/>
    <w:rsid w:val="00AC416C"/>
    <w:rsid w:val="00AF60C7"/>
    <w:rsid w:val="00B11044"/>
    <w:rsid w:val="00B35A67"/>
    <w:rsid w:val="00B375D4"/>
    <w:rsid w:val="00B81B0E"/>
    <w:rsid w:val="00B85110"/>
    <w:rsid w:val="00B96A8C"/>
    <w:rsid w:val="00BA2DA9"/>
    <w:rsid w:val="00C04141"/>
    <w:rsid w:val="00C155B7"/>
    <w:rsid w:val="00C60DE2"/>
    <w:rsid w:val="00CD2AF0"/>
    <w:rsid w:val="00CE476D"/>
    <w:rsid w:val="00D45E4F"/>
    <w:rsid w:val="00D54BDD"/>
    <w:rsid w:val="00D66D21"/>
    <w:rsid w:val="00E63B3F"/>
    <w:rsid w:val="00E67D31"/>
    <w:rsid w:val="00E73185"/>
    <w:rsid w:val="00EC2CA2"/>
    <w:rsid w:val="00EC76B0"/>
    <w:rsid w:val="00EE3642"/>
    <w:rsid w:val="00EF61F0"/>
    <w:rsid w:val="00F61D30"/>
    <w:rsid w:val="00F6751B"/>
    <w:rsid w:val="00F866A7"/>
    <w:rsid w:val="00FB26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9E3AFE-7B9A-48EE-A078-5D21E513A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4ED"/>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4F64ED"/>
    <w:pPr>
      <w:keepNext/>
      <w:spacing w:before="240" w:after="60"/>
      <w:outlineLvl w:val="0"/>
    </w:pPr>
    <w:rPr>
      <w:rFonts w:ascii="Arial" w:eastAsia="SimSun" w:hAnsi="Arial" w:cs="Arial"/>
      <w:b/>
      <w:bCs/>
      <w:kern w:val="32"/>
      <w:sz w:val="32"/>
      <w:szCs w:val="32"/>
      <w:lang w:eastAsia="zh-CN"/>
    </w:rPr>
  </w:style>
  <w:style w:type="paragraph" w:styleId="Heading2">
    <w:name w:val="heading 2"/>
    <w:basedOn w:val="Normal"/>
    <w:next w:val="Normal"/>
    <w:link w:val="Heading2Char"/>
    <w:semiHidden/>
    <w:unhideWhenUsed/>
    <w:qFormat/>
    <w:rsid w:val="004F64ED"/>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semiHidden/>
    <w:unhideWhenUsed/>
    <w:qFormat/>
    <w:rsid w:val="004F64ED"/>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64ED"/>
    <w:rPr>
      <w:rFonts w:ascii="Arial" w:eastAsia="SimSun" w:hAnsi="Arial" w:cs="Arial"/>
      <w:b/>
      <w:bCs/>
      <w:kern w:val="32"/>
      <w:sz w:val="32"/>
      <w:szCs w:val="32"/>
      <w:lang w:eastAsia="zh-CN"/>
    </w:rPr>
  </w:style>
  <w:style w:type="character" w:customStyle="1" w:styleId="Heading2Char">
    <w:name w:val="Heading 2 Char"/>
    <w:basedOn w:val="DefaultParagraphFont"/>
    <w:link w:val="Heading2"/>
    <w:semiHidden/>
    <w:rsid w:val="004F64ED"/>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semiHidden/>
    <w:rsid w:val="004F64ED"/>
    <w:rPr>
      <w:rFonts w:ascii="Cambria" w:eastAsia="Times New Roman" w:hAnsi="Cambria" w:cs="Times New Roman"/>
      <w:b/>
      <w:bCs/>
      <w:color w:val="4F81BD"/>
      <w:sz w:val="24"/>
      <w:szCs w:val="24"/>
    </w:rPr>
  </w:style>
  <w:style w:type="paragraph" w:styleId="Footer">
    <w:name w:val="footer"/>
    <w:basedOn w:val="Normal"/>
    <w:link w:val="FooterChar"/>
    <w:uiPriority w:val="99"/>
    <w:rsid w:val="004F64ED"/>
    <w:pPr>
      <w:tabs>
        <w:tab w:val="center" w:pos="4153"/>
        <w:tab w:val="right" w:pos="8306"/>
      </w:tabs>
    </w:pPr>
  </w:style>
  <w:style w:type="character" w:customStyle="1" w:styleId="FooterChar">
    <w:name w:val="Footer Char"/>
    <w:basedOn w:val="DefaultParagraphFont"/>
    <w:link w:val="Footer"/>
    <w:uiPriority w:val="99"/>
    <w:rsid w:val="004F64ED"/>
    <w:rPr>
      <w:rFonts w:ascii="Times New Roman" w:eastAsia="Times New Roman" w:hAnsi="Times New Roman" w:cs="Times New Roman"/>
      <w:sz w:val="24"/>
      <w:szCs w:val="24"/>
    </w:rPr>
  </w:style>
  <w:style w:type="character" w:styleId="PageNumber">
    <w:name w:val="page number"/>
    <w:basedOn w:val="DefaultParagraphFont"/>
    <w:rsid w:val="004F64ED"/>
  </w:style>
  <w:style w:type="paragraph" w:styleId="Header">
    <w:name w:val="header"/>
    <w:basedOn w:val="Normal"/>
    <w:link w:val="HeaderChar"/>
    <w:uiPriority w:val="99"/>
    <w:rsid w:val="004F64ED"/>
    <w:pPr>
      <w:tabs>
        <w:tab w:val="center" w:pos="4153"/>
        <w:tab w:val="right" w:pos="8306"/>
      </w:tabs>
    </w:pPr>
  </w:style>
  <w:style w:type="character" w:customStyle="1" w:styleId="HeaderChar">
    <w:name w:val="Header Char"/>
    <w:basedOn w:val="DefaultParagraphFont"/>
    <w:link w:val="Header"/>
    <w:uiPriority w:val="99"/>
    <w:rsid w:val="004F64ED"/>
    <w:rPr>
      <w:rFonts w:ascii="Times New Roman" w:eastAsia="Times New Roman" w:hAnsi="Times New Roman" w:cs="Times New Roman"/>
      <w:sz w:val="24"/>
      <w:szCs w:val="24"/>
    </w:rPr>
  </w:style>
  <w:style w:type="paragraph" w:styleId="BodyText">
    <w:name w:val="Body Text"/>
    <w:basedOn w:val="Normal"/>
    <w:link w:val="BodyTextChar"/>
    <w:rsid w:val="004F64ED"/>
    <w:pPr>
      <w:widowControl w:val="0"/>
      <w:bidi w:val="0"/>
      <w:jc w:val="lowKashida"/>
    </w:pPr>
    <w:rPr>
      <w:rFonts w:cs="Traditional Arabic"/>
      <w:snapToGrid w:val="0"/>
      <w:szCs w:val="20"/>
    </w:rPr>
  </w:style>
  <w:style w:type="character" w:customStyle="1" w:styleId="BodyTextChar">
    <w:name w:val="Body Text Char"/>
    <w:basedOn w:val="DefaultParagraphFont"/>
    <w:link w:val="BodyText"/>
    <w:rsid w:val="004F64ED"/>
    <w:rPr>
      <w:rFonts w:ascii="Times New Roman" w:eastAsia="Times New Roman" w:hAnsi="Times New Roman" w:cs="Traditional Arabic"/>
      <w:snapToGrid w:val="0"/>
      <w:sz w:val="24"/>
      <w:szCs w:val="20"/>
    </w:rPr>
  </w:style>
  <w:style w:type="character" w:styleId="FollowedHyperlink">
    <w:name w:val="FollowedHyperlink"/>
    <w:rsid w:val="004F64ED"/>
    <w:rPr>
      <w:color w:val="800080"/>
      <w:u w:val="single"/>
    </w:rPr>
  </w:style>
  <w:style w:type="paragraph" w:styleId="List">
    <w:name w:val="List"/>
    <w:basedOn w:val="Normal"/>
    <w:rsid w:val="004F64ED"/>
    <w:pPr>
      <w:ind w:left="360" w:hanging="360"/>
    </w:pPr>
    <w:rPr>
      <w:rFonts w:eastAsia="SimSun"/>
      <w:lang w:eastAsia="zh-CN"/>
    </w:rPr>
  </w:style>
  <w:style w:type="paragraph" w:styleId="BalloonText">
    <w:name w:val="Balloon Text"/>
    <w:basedOn w:val="Normal"/>
    <w:link w:val="BalloonTextChar"/>
    <w:rsid w:val="004F64ED"/>
    <w:rPr>
      <w:rFonts w:ascii="Tahoma" w:hAnsi="Tahoma" w:cs="Tahoma"/>
      <w:sz w:val="16"/>
      <w:szCs w:val="16"/>
    </w:rPr>
  </w:style>
  <w:style w:type="character" w:customStyle="1" w:styleId="BalloonTextChar">
    <w:name w:val="Balloon Text Char"/>
    <w:basedOn w:val="DefaultParagraphFont"/>
    <w:link w:val="BalloonText"/>
    <w:rsid w:val="004F64ED"/>
    <w:rPr>
      <w:rFonts w:ascii="Tahoma" w:eastAsia="Times New Roman" w:hAnsi="Tahoma" w:cs="Tahoma"/>
      <w:sz w:val="16"/>
      <w:szCs w:val="16"/>
    </w:rPr>
  </w:style>
  <w:style w:type="table" w:styleId="TableGrid">
    <w:name w:val="Table Grid"/>
    <w:basedOn w:val="TableNormal"/>
    <w:uiPriority w:val="59"/>
    <w:rsid w:val="004F64ED"/>
    <w:pPr>
      <w:spacing w:after="0" w:line="240" w:lineRule="auto"/>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unhideWhenUsed/>
    <w:rsid w:val="004F64ED"/>
    <w:pPr>
      <w:spacing w:after="120" w:line="480" w:lineRule="auto"/>
    </w:pPr>
    <w:rPr>
      <w:rFonts w:ascii="Calibri" w:hAnsi="Calibri" w:cs="Arial"/>
      <w:sz w:val="22"/>
      <w:szCs w:val="22"/>
    </w:rPr>
  </w:style>
  <w:style w:type="character" w:customStyle="1" w:styleId="BodyText2Char">
    <w:name w:val="Body Text 2 Char"/>
    <w:basedOn w:val="DefaultParagraphFont"/>
    <w:link w:val="BodyText2"/>
    <w:uiPriority w:val="99"/>
    <w:rsid w:val="004F64ED"/>
    <w:rPr>
      <w:rFonts w:ascii="Calibri" w:eastAsia="Times New Roman" w:hAnsi="Calibri" w:cs="Arial"/>
    </w:rPr>
  </w:style>
  <w:style w:type="paragraph" w:styleId="ListParagraph">
    <w:name w:val="List Paragraph"/>
    <w:basedOn w:val="Normal"/>
    <w:uiPriority w:val="34"/>
    <w:qFormat/>
    <w:rsid w:val="004F64ED"/>
    <w:pPr>
      <w:ind w:left="720"/>
      <w:contextualSpacing/>
    </w:pPr>
  </w:style>
  <w:style w:type="character" w:styleId="Hyperlink">
    <w:name w:val="Hyperlink"/>
    <w:rsid w:val="004F64ED"/>
    <w:rPr>
      <w:color w:val="0000FF"/>
      <w:u w:val="single"/>
    </w:rPr>
  </w:style>
  <w:style w:type="paragraph" w:customStyle="1" w:styleId="Default">
    <w:name w:val="Default"/>
    <w:rsid w:val="004F64ED"/>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pple-converted-space">
    <w:name w:val="apple-converted-space"/>
    <w:basedOn w:val="DefaultParagraphFont"/>
    <w:rsid w:val="004F64ED"/>
  </w:style>
  <w:style w:type="character" w:customStyle="1" w:styleId="yiv2875474321">
    <w:name w:val="yiv2875474321"/>
    <w:basedOn w:val="DefaultParagraphFont"/>
    <w:rsid w:val="004F64ED"/>
  </w:style>
  <w:style w:type="paragraph" w:styleId="BodyTextFirstIndent">
    <w:name w:val="Body Text First Indent"/>
    <w:basedOn w:val="BodyText"/>
    <w:link w:val="BodyTextFirstIndentChar"/>
    <w:uiPriority w:val="99"/>
    <w:semiHidden/>
    <w:unhideWhenUsed/>
    <w:rsid w:val="00963CF4"/>
    <w:pPr>
      <w:widowControl/>
      <w:bidi/>
      <w:ind w:firstLine="360"/>
      <w:jc w:val="left"/>
    </w:pPr>
    <w:rPr>
      <w:rFonts w:cs="Times New Roman"/>
      <w:snapToGrid/>
      <w:szCs w:val="24"/>
    </w:rPr>
  </w:style>
  <w:style w:type="character" w:customStyle="1" w:styleId="BodyTextFirstIndentChar">
    <w:name w:val="Body Text First Indent Char"/>
    <w:basedOn w:val="BodyTextChar"/>
    <w:link w:val="BodyTextFirstIndent"/>
    <w:uiPriority w:val="99"/>
    <w:semiHidden/>
    <w:rsid w:val="00963CF4"/>
    <w:rPr>
      <w:rFonts w:ascii="Times New Roman" w:eastAsia="Times New Roman" w:hAnsi="Times New Roman" w:cs="Times New Roman"/>
      <w:snapToGrid/>
      <w:sz w:val="24"/>
      <w:szCs w:val="24"/>
    </w:rPr>
  </w:style>
  <w:style w:type="paragraph" w:customStyle="1" w:styleId="Literatur">
    <w:name w:val="Literatur"/>
    <w:basedOn w:val="Normal"/>
    <w:rsid w:val="00C04141"/>
    <w:pPr>
      <w:overflowPunct w:val="0"/>
      <w:autoSpaceDE w:val="0"/>
      <w:autoSpaceDN w:val="0"/>
      <w:bidi w:val="0"/>
      <w:adjustRightInd w:val="0"/>
      <w:spacing w:after="120"/>
      <w:ind w:right="397" w:hanging="397"/>
      <w:jc w:val="both"/>
    </w:pPr>
    <w:rPr>
      <w:sz w:val="22"/>
      <w:szCs w:val="22"/>
      <w:lang w:val="en-GB"/>
    </w:rPr>
  </w:style>
  <w:style w:type="paragraph" w:styleId="HTMLPreformatted">
    <w:name w:val="HTML Preformatted"/>
    <w:basedOn w:val="Normal"/>
    <w:link w:val="HTMLPreformattedChar"/>
    <w:uiPriority w:val="99"/>
    <w:semiHidden/>
    <w:unhideWhenUsed/>
    <w:rsid w:val="003F6E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3F6E5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410515">
      <w:bodyDiv w:val="1"/>
      <w:marLeft w:val="0"/>
      <w:marRight w:val="0"/>
      <w:marTop w:val="0"/>
      <w:marBottom w:val="0"/>
      <w:divBdr>
        <w:top w:val="none" w:sz="0" w:space="0" w:color="auto"/>
        <w:left w:val="none" w:sz="0" w:space="0" w:color="auto"/>
        <w:bottom w:val="none" w:sz="0" w:space="0" w:color="auto"/>
        <w:right w:val="none" w:sz="0" w:space="0" w:color="auto"/>
      </w:divBdr>
    </w:div>
    <w:div w:id="206582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1.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F:\E2\PhD\30\reply\reply2\Data%20of%20Paper%202\annua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Survey\PhD0\30\Data%20of%20Paper%202\annu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E2\PhD\30\reply\reply2\Data%20of%20Paper%202\annua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E2\PhD\30\reply\reply2\Data%20of%20Paper%202\annua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E2\PhD\30\reply\reply2\Data%20of%20Paper%202\annua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E2\PhD\30\reply\reply2\Data%20of%20Paper%202\annua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E2\PhD\30\reply\reply2\Data%20of%20Paper%202\annua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E2\PhD\30\reply\reply2\Data%20of%20Paper%202\annu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910961650627021"/>
          <c:y val="0.1578240826000572"/>
          <c:w val="0.82589038349373134"/>
          <c:h val="0.6165176158456519"/>
        </c:manualLayout>
      </c:layout>
      <c:scatterChart>
        <c:scatterStyle val="smoothMarker"/>
        <c:varyColors val="0"/>
        <c:ser>
          <c:idx val="0"/>
          <c:order val="0"/>
          <c:tx>
            <c:strRef>
              <c:f>'Dry azimuthal asymmetry'!$D$1</c:f>
              <c:strCache>
                <c:ptCount val="1"/>
                <c:pt idx="0">
                  <c:v>Ø = 22</c:v>
                </c:pt>
              </c:strCache>
            </c:strRef>
          </c:tx>
          <c:xVal>
            <c:numRef>
              <c:f>'Dry azimuthal asymmetry'!$B$2:$B$10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asymmetry'!$D$2:$D$10</c:f>
              <c:numCache>
                <c:formatCode>General</c:formatCode>
                <c:ptCount val="9"/>
                <c:pt idx="0">
                  <c:v>39.90565037378073</c:v>
                </c:pt>
                <c:pt idx="1">
                  <c:v>39.941812796110888</c:v>
                </c:pt>
                <c:pt idx="2">
                  <c:v>40.014280454472868</c:v>
                </c:pt>
                <c:pt idx="3">
                  <c:v>40.016607858070806</c:v>
                </c:pt>
                <c:pt idx="4">
                  <c:v>39.984042238334425</c:v>
                </c:pt>
                <c:pt idx="5">
                  <c:v>39.997829513888746</c:v>
                </c:pt>
                <c:pt idx="6">
                  <c:v>40.013177504900355</c:v>
                </c:pt>
                <c:pt idx="7">
                  <c:v>39.960673674956446</c:v>
                </c:pt>
                <c:pt idx="8">
                  <c:v>39.905650373774812</c:v>
                </c:pt>
              </c:numCache>
            </c:numRef>
          </c:yVal>
          <c:smooth val="1"/>
        </c:ser>
        <c:ser>
          <c:idx val="1"/>
          <c:order val="1"/>
          <c:tx>
            <c:strRef>
              <c:f>'Dry azimuthal asymmetry'!$E$1</c:f>
              <c:strCache>
                <c:ptCount val="1"/>
                <c:pt idx="0">
                  <c:v>Ø =24</c:v>
                </c:pt>
              </c:strCache>
            </c:strRef>
          </c:tx>
          <c:xVal>
            <c:numRef>
              <c:f>'Dry azimuthal asymmetry'!$B$2:$B$10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asymmetry'!$E$2:$E$10</c:f>
              <c:numCache>
                <c:formatCode>General</c:formatCode>
                <c:ptCount val="9"/>
                <c:pt idx="0">
                  <c:v>40.006767282785226</c:v>
                </c:pt>
                <c:pt idx="1">
                  <c:v>40.042531573756946</c:v>
                </c:pt>
                <c:pt idx="2">
                  <c:v>40.117542747231106</c:v>
                </c:pt>
                <c:pt idx="3">
                  <c:v>40.123024270632996</c:v>
                </c:pt>
                <c:pt idx="4">
                  <c:v>40.090770549453239</c:v>
                </c:pt>
                <c:pt idx="5">
                  <c:v>40.102528867956813</c:v>
                </c:pt>
                <c:pt idx="6">
                  <c:v>40.116350793207125</c:v>
                </c:pt>
                <c:pt idx="7">
                  <c:v>40.063133145600062</c:v>
                </c:pt>
                <c:pt idx="8">
                  <c:v>40.006767282790094</c:v>
                </c:pt>
              </c:numCache>
            </c:numRef>
          </c:yVal>
          <c:smooth val="1"/>
        </c:ser>
        <c:ser>
          <c:idx val="2"/>
          <c:order val="2"/>
          <c:tx>
            <c:strRef>
              <c:f>'Dry azimuthal asymmetry'!$F$1</c:f>
              <c:strCache>
                <c:ptCount val="1"/>
                <c:pt idx="0">
                  <c:v>Ø =26</c:v>
                </c:pt>
              </c:strCache>
            </c:strRef>
          </c:tx>
          <c:xVal>
            <c:numRef>
              <c:f>'Dry azimuthal asymmetry'!$B$2:$B$10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asymmetry'!$F$2:$F$10</c:f>
              <c:numCache>
                <c:formatCode>General</c:formatCode>
                <c:ptCount val="9"/>
                <c:pt idx="0">
                  <c:v>40.114975277972441</c:v>
                </c:pt>
                <c:pt idx="1">
                  <c:v>40.150277382716233</c:v>
                </c:pt>
                <c:pt idx="2">
                  <c:v>40.227684636548695</c:v>
                </c:pt>
                <c:pt idx="3">
                  <c:v>40.236187024064733</c:v>
                </c:pt>
                <c:pt idx="4">
                  <c:v>40.204208234744222</c:v>
                </c:pt>
                <c:pt idx="5">
                  <c:v>40.213975346624757</c:v>
                </c:pt>
                <c:pt idx="6">
                  <c:v>40.226394988834613</c:v>
                </c:pt>
                <c:pt idx="7">
                  <c:v>40.172623372287354</c:v>
                </c:pt>
                <c:pt idx="8">
                  <c:v>40.114975277974381</c:v>
                </c:pt>
              </c:numCache>
            </c:numRef>
          </c:yVal>
          <c:smooth val="1"/>
        </c:ser>
        <c:ser>
          <c:idx val="3"/>
          <c:order val="3"/>
          <c:tx>
            <c:strRef>
              <c:f>'Dry azimuthal asymmetry'!$G$1</c:f>
              <c:strCache>
                <c:ptCount val="1"/>
                <c:pt idx="0">
                  <c:v>Ø =28</c:v>
                </c:pt>
              </c:strCache>
            </c:strRef>
          </c:tx>
          <c:xVal>
            <c:numRef>
              <c:f>'Dry azimuthal asymmetry'!$B$2:$B$10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asymmetry'!$G$2:$G$10</c:f>
              <c:numCache>
                <c:formatCode>General</c:formatCode>
                <c:ptCount val="9"/>
                <c:pt idx="0">
                  <c:v>40.229775349749524</c:v>
                </c:pt>
                <c:pt idx="1">
                  <c:v>40.264551936658513</c:v>
                </c:pt>
                <c:pt idx="2">
                  <c:v>40.344201694079374</c:v>
                </c:pt>
                <c:pt idx="3">
                  <c:v>40.355577405418074</c:v>
                </c:pt>
                <c:pt idx="4">
                  <c:v>40.323830275867955</c:v>
                </c:pt>
                <c:pt idx="5">
                  <c:v>40.331651720863945</c:v>
                </c:pt>
                <c:pt idx="6">
                  <c:v>40.342805382021403</c:v>
                </c:pt>
                <c:pt idx="7">
                  <c:v>40.288645238091512</c:v>
                </c:pt>
                <c:pt idx="8">
                  <c:v>40.229775349748657</c:v>
                </c:pt>
              </c:numCache>
            </c:numRef>
          </c:yVal>
          <c:smooth val="1"/>
        </c:ser>
        <c:ser>
          <c:idx val="4"/>
          <c:order val="4"/>
          <c:tx>
            <c:strRef>
              <c:f>'Dry azimuthal asymmetry'!$H$1</c:f>
              <c:strCache>
                <c:ptCount val="1"/>
                <c:pt idx="0">
                  <c:v>Ø =30</c:v>
                </c:pt>
              </c:strCache>
            </c:strRef>
          </c:tx>
          <c:xVal>
            <c:numRef>
              <c:f>'Dry azimuthal asymmetry'!$B$2:$B$10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asymmetry'!$H$2:$H$10</c:f>
              <c:numCache>
                <c:formatCode>General</c:formatCode>
                <c:ptCount val="9"/>
                <c:pt idx="0">
                  <c:v>40.350635771144297</c:v>
                </c:pt>
                <c:pt idx="1">
                  <c:v>40.384824557759565</c:v>
                </c:pt>
                <c:pt idx="2">
                  <c:v>40.466557533895738</c:v>
                </c:pt>
                <c:pt idx="3">
                  <c:v>40.480645094564174</c:v>
                </c:pt>
                <c:pt idx="4">
                  <c:v>40.449080407478846</c:v>
                </c:pt>
                <c:pt idx="5">
                  <c:v>40.455009459543568</c:v>
                </c:pt>
                <c:pt idx="6">
                  <c:v>40.465045257852836</c:v>
                </c:pt>
                <c:pt idx="7">
                  <c:v>40.410666998143242</c:v>
                </c:pt>
                <c:pt idx="8">
                  <c:v>40.350635771141974</c:v>
                </c:pt>
              </c:numCache>
            </c:numRef>
          </c:yVal>
          <c:smooth val="1"/>
        </c:ser>
        <c:ser>
          <c:idx val="5"/>
          <c:order val="5"/>
          <c:tx>
            <c:strRef>
              <c:f>'Dry azimuthal asymmetry'!$I$1</c:f>
              <c:strCache>
                <c:ptCount val="1"/>
                <c:pt idx="0">
                  <c:v>Ø =32</c:v>
                </c:pt>
              </c:strCache>
            </c:strRef>
          </c:tx>
          <c:xVal>
            <c:numRef>
              <c:f>'Dry azimuthal asymmetry'!$B$2:$B$10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asymmetry'!$I$2:$I$10</c:f>
              <c:numCache>
                <c:formatCode>General</c:formatCode>
                <c:ptCount val="9"/>
                <c:pt idx="0">
                  <c:v>40.476994158695774</c:v>
                </c:pt>
                <c:pt idx="1">
                  <c:v>40.510534210209677</c:v>
                </c:pt>
                <c:pt idx="2">
                  <c:v>40.594185839273308</c:v>
                </c:pt>
                <c:pt idx="3">
                  <c:v>40.610810280304577</c:v>
                </c:pt>
                <c:pt idx="4">
                  <c:v>40.579373314241131</c:v>
                </c:pt>
                <c:pt idx="5">
                  <c:v>40.583470854015935</c:v>
                </c:pt>
                <c:pt idx="6">
                  <c:v>40.59254791305451</c:v>
                </c:pt>
                <c:pt idx="7">
                  <c:v>40.538126308787412</c:v>
                </c:pt>
                <c:pt idx="8">
                  <c:v>40.476994158695994</c:v>
                </c:pt>
              </c:numCache>
            </c:numRef>
          </c:yVal>
          <c:smooth val="1"/>
        </c:ser>
        <c:dLbls>
          <c:showLegendKey val="0"/>
          <c:showVal val="0"/>
          <c:showCatName val="0"/>
          <c:showSerName val="0"/>
          <c:showPercent val="0"/>
          <c:showBubbleSize val="0"/>
        </c:dLbls>
        <c:axId val="427598360"/>
        <c:axId val="427597968"/>
      </c:scatterChart>
      <c:valAx>
        <c:axId val="427598360"/>
        <c:scaling>
          <c:orientation val="minMax"/>
          <c:max val="360"/>
        </c:scaling>
        <c:delete val="0"/>
        <c:axPos val="b"/>
        <c:title>
          <c:tx>
            <c:rich>
              <a:bodyPr/>
              <a:lstStyle/>
              <a:p>
                <a:pPr>
                  <a:defRPr lang="ar-EG" sz="800" b="0"/>
                </a:pPr>
                <a:r>
                  <a:rPr lang="en-US" sz="1400" b="0" i="0" baseline="0">
                    <a:effectLst/>
                  </a:rPr>
                  <a:t>Azimuth Angle (°)</a:t>
                </a:r>
                <a:endParaRPr lang="en-US" sz="1400" b="0">
                  <a:effectLst/>
                </a:endParaRPr>
              </a:p>
            </c:rich>
          </c:tx>
          <c:overlay val="0"/>
        </c:title>
        <c:numFmt formatCode="General" sourceLinked="1"/>
        <c:majorTickMark val="out"/>
        <c:minorTickMark val="none"/>
        <c:tickLblPos val="nextTo"/>
        <c:txPr>
          <a:bodyPr/>
          <a:lstStyle/>
          <a:p>
            <a:pPr>
              <a:defRPr lang="ar-EG" sz="1200"/>
            </a:pPr>
            <a:endParaRPr lang="en-US"/>
          </a:p>
        </c:txPr>
        <c:crossAx val="427597968"/>
        <c:crosses val="autoZero"/>
        <c:crossBetween val="midCat"/>
        <c:majorUnit val="45"/>
      </c:valAx>
      <c:valAx>
        <c:axId val="427597968"/>
        <c:scaling>
          <c:orientation val="minMax"/>
        </c:scaling>
        <c:delete val="0"/>
        <c:axPos val="l"/>
        <c:majorGridlines/>
        <c:title>
          <c:tx>
            <c:rich>
              <a:bodyPr rot="-5400000" vert="horz"/>
              <a:lstStyle/>
              <a:p>
                <a:pPr>
                  <a:defRPr lang="ar-EG" sz="800"/>
                </a:pPr>
                <a:r>
                  <a:rPr lang="en-US" sz="1400" b="0" i="0" baseline="0">
                    <a:effectLst/>
                  </a:rPr>
                  <a:t>Tropospheric Dry Delay (m)</a:t>
                </a:r>
                <a:endParaRPr lang="ar-EG" sz="800" b="0">
                  <a:effectLst/>
                </a:endParaRPr>
              </a:p>
            </c:rich>
          </c:tx>
          <c:layout>
            <c:manualLayout>
              <c:xMode val="edge"/>
              <c:yMode val="edge"/>
              <c:x val="6.5167082232328259E-3"/>
              <c:y val="0.16731841777051115"/>
            </c:manualLayout>
          </c:layout>
          <c:overlay val="0"/>
        </c:title>
        <c:numFmt formatCode="#,##0.0" sourceLinked="0"/>
        <c:majorTickMark val="out"/>
        <c:minorTickMark val="none"/>
        <c:tickLblPos val="nextTo"/>
        <c:txPr>
          <a:bodyPr/>
          <a:lstStyle/>
          <a:p>
            <a:pPr>
              <a:defRPr lang="ar-EG" sz="1200"/>
            </a:pPr>
            <a:endParaRPr lang="en-US"/>
          </a:p>
        </c:txPr>
        <c:crossAx val="427598360"/>
        <c:crosses val="autoZero"/>
        <c:crossBetween val="midCat"/>
        <c:majorUnit val="0.2"/>
      </c:valAx>
      <c:spPr>
        <a:ln>
          <a:solidFill>
            <a:schemeClr val="tx1"/>
          </a:solidFill>
        </a:ln>
      </c:spPr>
    </c:plotArea>
    <c:legend>
      <c:legendPos val="t"/>
      <c:layout>
        <c:manualLayout>
          <c:xMode val="edge"/>
          <c:yMode val="edge"/>
          <c:x val="6.6203645801456296E-2"/>
          <c:y val="3.4227039361095266E-2"/>
          <c:w val="0.9"/>
          <c:h val="0.10745805912369565"/>
        </c:manualLayout>
      </c:layout>
      <c:overlay val="0"/>
      <c:txPr>
        <a:bodyPr/>
        <a:lstStyle/>
        <a:p>
          <a:pPr>
            <a:defRPr lang="ar-EG" sz="1400"/>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38139168247535"/>
          <c:y val="0.13120312547138502"/>
          <c:w val="0.82935128158485139"/>
          <c:h val="0.64313874558783601"/>
        </c:manualLayout>
      </c:layout>
      <c:scatterChart>
        <c:scatterStyle val="smoothMarker"/>
        <c:varyColors val="0"/>
        <c:ser>
          <c:idx val="0"/>
          <c:order val="0"/>
          <c:tx>
            <c:strRef>
              <c:f>'Dry azimuthal asymmetry'!$D$39</c:f>
              <c:strCache>
                <c:ptCount val="1"/>
                <c:pt idx="0">
                  <c:v>Ø = 22</c:v>
                </c:pt>
              </c:strCache>
            </c:strRef>
          </c:tx>
          <c:xVal>
            <c:numRef>
              <c:f>'Dry azimuthal asymmetry'!$B$40:$B$48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asymmetry'!$D$40:$D$48</c:f>
              <c:numCache>
                <c:formatCode>General</c:formatCode>
                <c:ptCount val="9"/>
                <c:pt idx="0">
                  <c:v>39.664108786006338</c:v>
                </c:pt>
                <c:pt idx="1">
                  <c:v>39.690523446157265</c:v>
                </c:pt>
                <c:pt idx="2">
                  <c:v>39.739519705045232</c:v>
                </c:pt>
                <c:pt idx="3">
                  <c:v>39.720217571917651</c:v>
                </c:pt>
                <c:pt idx="4">
                  <c:v>39.679814051422987</c:v>
                </c:pt>
                <c:pt idx="5">
                  <c:v>39.70222733941555</c:v>
                </c:pt>
                <c:pt idx="6">
                  <c:v>39.738611088118304</c:v>
                </c:pt>
                <c:pt idx="7">
                  <c:v>39.708865295955171</c:v>
                </c:pt>
                <c:pt idx="8">
                  <c:v>39.664108786002167</c:v>
                </c:pt>
              </c:numCache>
            </c:numRef>
          </c:yVal>
          <c:smooth val="1"/>
        </c:ser>
        <c:ser>
          <c:idx val="1"/>
          <c:order val="1"/>
          <c:tx>
            <c:strRef>
              <c:f>'Dry azimuthal asymmetry'!$E$39</c:f>
              <c:strCache>
                <c:ptCount val="1"/>
                <c:pt idx="0">
                  <c:v>Ø =24</c:v>
                </c:pt>
              </c:strCache>
            </c:strRef>
          </c:tx>
          <c:xVal>
            <c:numRef>
              <c:f>'Dry azimuthal asymmetry'!$B$40:$B$48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asymmetry'!$E$40:$E$48</c:f>
              <c:numCache>
                <c:formatCode>General</c:formatCode>
                <c:ptCount val="9"/>
                <c:pt idx="0">
                  <c:v>39.714242116553351</c:v>
                </c:pt>
                <c:pt idx="1">
                  <c:v>39.739589391107188</c:v>
                </c:pt>
                <c:pt idx="2">
                  <c:v>39.789391937104433</c:v>
                </c:pt>
                <c:pt idx="3">
                  <c:v>39.771674137467677</c:v>
                </c:pt>
                <c:pt idx="4">
                  <c:v>39.731085068590914</c:v>
                </c:pt>
                <c:pt idx="5">
                  <c:v>39.752122546073878</c:v>
                </c:pt>
                <c:pt idx="6">
                  <c:v>39.788419013705116</c:v>
                </c:pt>
                <c:pt idx="7">
                  <c:v>39.759544934569526</c:v>
                </c:pt>
                <c:pt idx="8">
                  <c:v>39.714242116559767</c:v>
                </c:pt>
              </c:numCache>
            </c:numRef>
          </c:yVal>
          <c:smooth val="1"/>
        </c:ser>
        <c:ser>
          <c:idx val="2"/>
          <c:order val="2"/>
          <c:tx>
            <c:strRef>
              <c:f>'Dry azimuthal asymmetry'!$F$39</c:f>
              <c:strCache>
                <c:ptCount val="1"/>
                <c:pt idx="0">
                  <c:v>Ø =26</c:v>
                </c:pt>
              </c:strCache>
            </c:strRef>
          </c:tx>
          <c:xVal>
            <c:numRef>
              <c:f>'Dry azimuthal asymmetry'!$B$40:$B$48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asymmetry'!$F$40:$F$48</c:f>
              <c:numCache>
                <c:formatCode>General</c:formatCode>
                <c:ptCount val="9"/>
                <c:pt idx="0">
                  <c:v>39.767603548598181</c:v>
                </c:pt>
                <c:pt idx="1">
                  <c:v>39.791862532304414</c:v>
                </c:pt>
                <c:pt idx="2">
                  <c:v>39.842413421468272</c:v>
                </c:pt>
                <c:pt idx="3">
                  <c:v>39.826257778212678</c:v>
                </c:pt>
                <c:pt idx="4">
                  <c:v>39.785510020359247</c:v>
                </c:pt>
                <c:pt idx="5">
                  <c:v>39.805165002887996</c:v>
                </c:pt>
                <c:pt idx="6">
                  <c:v>39.841369159696917</c:v>
                </c:pt>
                <c:pt idx="7">
                  <c:v>39.813416888276706</c:v>
                </c:pt>
                <c:pt idx="8">
                  <c:v>39.767603548596703</c:v>
                </c:pt>
              </c:numCache>
            </c:numRef>
          </c:yVal>
          <c:smooth val="1"/>
        </c:ser>
        <c:ser>
          <c:idx val="3"/>
          <c:order val="3"/>
          <c:tx>
            <c:strRef>
              <c:f>'Dry azimuthal asymmetry'!$G$39</c:f>
              <c:strCache>
                <c:ptCount val="1"/>
                <c:pt idx="0">
                  <c:v>Ø =28</c:v>
                </c:pt>
              </c:strCache>
            </c:strRef>
          </c:tx>
          <c:xVal>
            <c:numRef>
              <c:f>'Dry azimuthal asymmetry'!$B$40:$B$48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asymmetry'!$G$40:$G$48</c:f>
              <c:numCache>
                <c:formatCode>General</c:formatCode>
                <c:ptCount val="9"/>
                <c:pt idx="0">
                  <c:v>39.823915381026232</c:v>
                </c:pt>
                <c:pt idx="1">
                  <c:v>39.847068703133068</c:v>
                </c:pt>
                <c:pt idx="2">
                  <c:v>39.898310256668942</c:v>
                </c:pt>
                <c:pt idx="3">
                  <c:v>39.883687942568905</c:v>
                </c:pt>
                <c:pt idx="4">
                  <c:v>39.842805768696941</c:v>
                </c:pt>
                <c:pt idx="5">
                  <c:v>39.861076036806672</c:v>
                </c:pt>
                <c:pt idx="6">
                  <c:v>39.897187217615702</c:v>
                </c:pt>
                <c:pt idx="7">
                  <c:v>39.870205337282272</c:v>
                </c:pt>
                <c:pt idx="8">
                  <c:v>39.823915381022189</c:v>
                </c:pt>
              </c:numCache>
            </c:numRef>
          </c:yVal>
          <c:smooth val="1"/>
        </c:ser>
        <c:ser>
          <c:idx val="4"/>
          <c:order val="4"/>
          <c:tx>
            <c:strRef>
              <c:f>'Dry azimuthal asymmetry'!$H$39</c:f>
              <c:strCache>
                <c:ptCount val="1"/>
                <c:pt idx="0">
                  <c:v>Ø =30</c:v>
                </c:pt>
              </c:strCache>
            </c:strRef>
          </c:tx>
          <c:xVal>
            <c:numRef>
              <c:f>'Dry azimuthal asymmetry'!$B$40:$B$48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asymmetry'!$H$40:$H$48</c:f>
              <c:numCache>
                <c:formatCode>General</c:formatCode>
                <c:ptCount val="9"/>
                <c:pt idx="0">
                  <c:v>39.882886363446723</c:v>
                </c:pt>
                <c:pt idx="1">
                  <c:v>39.904920292574197</c:v>
                </c:pt>
                <c:pt idx="2">
                  <c:v>39.956795250882799</c:v>
                </c:pt>
                <c:pt idx="3">
                  <c:v>39.943670754994692</c:v>
                </c:pt>
                <c:pt idx="4">
                  <c:v>39.902675862734391</c:v>
                </c:pt>
                <c:pt idx="5">
                  <c:v>39.919563717093176</c:v>
                </c:pt>
                <c:pt idx="6">
                  <c:v>39.955585532809593</c:v>
                </c:pt>
                <c:pt idx="7">
                  <c:v>39.929620988114046</c:v>
                </c:pt>
                <c:pt idx="8">
                  <c:v>39.882886363444932</c:v>
                </c:pt>
              </c:numCache>
            </c:numRef>
          </c:yVal>
          <c:smooth val="1"/>
        </c:ser>
        <c:ser>
          <c:idx val="5"/>
          <c:order val="5"/>
          <c:tx>
            <c:strRef>
              <c:f>'Dry azimuthal asymmetry'!$I$39</c:f>
              <c:strCache>
                <c:ptCount val="1"/>
                <c:pt idx="0">
                  <c:v>Ø =32</c:v>
                </c:pt>
              </c:strCache>
            </c:strRef>
          </c:tx>
          <c:xVal>
            <c:numRef>
              <c:f>'Dry azimuthal asymmetry'!$B$40:$B$48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asymmetry'!$I$40:$I$48</c:f>
              <c:numCache>
                <c:formatCode>General</c:formatCode>
                <c:ptCount val="9"/>
                <c:pt idx="0">
                  <c:v>39.944213448182502</c:v>
                </c:pt>
                <c:pt idx="1">
                  <c:v>39.965117969052535</c:v>
                </c:pt>
                <c:pt idx="2">
                  <c:v>40.01756962921695</c:v>
                </c:pt>
                <c:pt idx="3">
                  <c:v>40.005900762810832</c:v>
                </c:pt>
                <c:pt idx="4">
                  <c:v>39.964812325616073</c:v>
                </c:pt>
                <c:pt idx="5">
                  <c:v>39.980324600399513</c:v>
                </c:pt>
                <c:pt idx="6">
                  <c:v>40.016264803525878</c:v>
                </c:pt>
                <c:pt idx="7">
                  <c:v>39.991362805474211</c:v>
                </c:pt>
                <c:pt idx="8">
                  <c:v>39.94421344817971</c:v>
                </c:pt>
              </c:numCache>
            </c:numRef>
          </c:yVal>
          <c:smooth val="1"/>
        </c:ser>
        <c:dLbls>
          <c:showLegendKey val="0"/>
          <c:showVal val="0"/>
          <c:showCatName val="0"/>
          <c:showSerName val="0"/>
          <c:showPercent val="0"/>
          <c:showBubbleSize val="0"/>
        </c:dLbls>
        <c:axId val="427599144"/>
        <c:axId val="427710072"/>
      </c:scatterChart>
      <c:valAx>
        <c:axId val="427599144"/>
        <c:scaling>
          <c:orientation val="minMax"/>
          <c:max val="360"/>
        </c:scaling>
        <c:delete val="0"/>
        <c:axPos val="b"/>
        <c:title>
          <c:tx>
            <c:rich>
              <a:bodyPr/>
              <a:lstStyle/>
              <a:p>
                <a:pPr>
                  <a:defRPr sz="800" b="0"/>
                </a:pPr>
                <a:r>
                  <a:rPr lang="en-US" sz="1400" b="0" i="0" baseline="0">
                    <a:effectLst/>
                  </a:rPr>
                  <a:t>Azimuth Angle (Degrees)</a:t>
                </a:r>
                <a:endParaRPr lang="ar-EG" sz="800" b="0">
                  <a:effectLst/>
                </a:endParaRPr>
              </a:p>
            </c:rich>
          </c:tx>
          <c:overlay val="0"/>
        </c:title>
        <c:numFmt formatCode="General" sourceLinked="1"/>
        <c:majorTickMark val="out"/>
        <c:minorTickMark val="none"/>
        <c:tickLblPos val="nextTo"/>
        <c:txPr>
          <a:bodyPr/>
          <a:lstStyle/>
          <a:p>
            <a:pPr>
              <a:defRPr sz="1200"/>
            </a:pPr>
            <a:endParaRPr lang="en-US"/>
          </a:p>
        </c:txPr>
        <c:crossAx val="427710072"/>
        <c:crosses val="autoZero"/>
        <c:crossBetween val="midCat"/>
        <c:majorUnit val="45"/>
      </c:valAx>
      <c:valAx>
        <c:axId val="427710072"/>
        <c:scaling>
          <c:orientation val="minMax"/>
        </c:scaling>
        <c:delete val="0"/>
        <c:axPos val="l"/>
        <c:majorGridlines/>
        <c:title>
          <c:tx>
            <c:rich>
              <a:bodyPr rot="-5400000" vert="horz"/>
              <a:lstStyle/>
              <a:p>
                <a:pPr>
                  <a:defRPr sz="800"/>
                </a:pPr>
                <a:r>
                  <a:rPr lang="en-US" sz="1400" b="0" i="0" baseline="0">
                    <a:effectLst/>
                  </a:rPr>
                  <a:t>Tropospheric Dry Delay (m)</a:t>
                </a:r>
                <a:endParaRPr lang="ar-EG" sz="800" b="0">
                  <a:effectLst/>
                </a:endParaRPr>
              </a:p>
            </c:rich>
          </c:tx>
          <c:layout>
            <c:manualLayout>
              <c:xMode val="edge"/>
              <c:yMode val="edge"/>
              <c:x val="8.9549772821148291E-3"/>
              <c:y val="0.11204603734877967"/>
            </c:manualLayout>
          </c:layout>
          <c:overlay val="0"/>
        </c:title>
        <c:numFmt formatCode="#,##0.0" sourceLinked="0"/>
        <c:majorTickMark val="out"/>
        <c:minorTickMark val="none"/>
        <c:tickLblPos val="nextTo"/>
        <c:txPr>
          <a:bodyPr/>
          <a:lstStyle/>
          <a:p>
            <a:pPr>
              <a:defRPr sz="1200"/>
            </a:pPr>
            <a:endParaRPr lang="en-US"/>
          </a:p>
        </c:txPr>
        <c:crossAx val="427599144"/>
        <c:crosses val="autoZero"/>
        <c:crossBetween val="midCat"/>
        <c:majorUnit val="0.2"/>
      </c:valAx>
    </c:plotArea>
    <c:legend>
      <c:legendPos val="t"/>
      <c:overlay val="0"/>
      <c:txPr>
        <a:bodyPr/>
        <a:lstStyle/>
        <a:p>
          <a:pPr>
            <a:defRPr sz="1400"/>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457257946923287"/>
          <c:y val="0.13120312547138521"/>
          <c:w val="0.80042742053076699"/>
          <c:h val="0.64313874558783601"/>
        </c:manualLayout>
      </c:layout>
      <c:scatterChart>
        <c:scatterStyle val="smoothMarker"/>
        <c:varyColors val="0"/>
        <c:ser>
          <c:idx val="0"/>
          <c:order val="0"/>
          <c:tx>
            <c:strRef>
              <c:f>'Dry azimuthal asymmetry'!$Z$1</c:f>
              <c:strCache>
                <c:ptCount val="1"/>
                <c:pt idx="0">
                  <c:v>Ø = 22</c:v>
                </c:pt>
              </c:strCache>
            </c:strRef>
          </c:tx>
          <c:xVal>
            <c:numRef>
              <c:f>'Dry azimuthal asymmetry'!$X$2:$X$10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asymmetry'!$Z$2:$Z$10</c:f>
              <c:numCache>
                <c:formatCode>General</c:formatCode>
                <c:ptCount val="9"/>
                <c:pt idx="0">
                  <c:v>40.032948526535513</c:v>
                </c:pt>
                <c:pt idx="1">
                  <c:v>40.071259809878505</c:v>
                </c:pt>
                <c:pt idx="2">
                  <c:v>40.147606331480475</c:v>
                </c:pt>
                <c:pt idx="3">
                  <c:v>40.152994584928351</c:v>
                </c:pt>
                <c:pt idx="4">
                  <c:v>40.121861649441264</c:v>
                </c:pt>
                <c:pt idx="5">
                  <c:v>40.134971719896299</c:v>
                </c:pt>
                <c:pt idx="6">
                  <c:v>40.146771677513044</c:v>
                </c:pt>
                <c:pt idx="7">
                  <c:v>40.089729043096604</c:v>
                </c:pt>
                <c:pt idx="8">
                  <c:v>40.032948526530653</c:v>
                </c:pt>
              </c:numCache>
            </c:numRef>
          </c:yVal>
          <c:smooth val="1"/>
        </c:ser>
        <c:ser>
          <c:idx val="1"/>
          <c:order val="1"/>
          <c:tx>
            <c:strRef>
              <c:f>'Dry azimuthal asymmetry'!$AA$1</c:f>
              <c:strCache>
                <c:ptCount val="1"/>
                <c:pt idx="0">
                  <c:v>Ø =24</c:v>
                </c:pt>
              </c:strCache>
            </c:strRef>
          </c:tx>
          <c:xVal>
            <c:numRef>
              <c:f>'Dry azimuthal asymmetry'!$X$2:$X$10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asymmetry'!$AA$2:$AA$10</c:f>
              <c:numCache>
                <c:formatCode>General</c:formatCode>
                <c:ptCount val="9"/>
                <c:pt idx="0">
                  <c:v>40.169880814655912</c:v>
                </c:pt>
                <c:pt idx="1">
                  <c:v>40.20787939548449</c:v>
                </c:pt>
                <c:pt idx="2">
                  <c:v>40.287003039275014</c:v>
                </c:pt>
                <c:pt idx="3">
                  <c:v>40.295849851186048</c:v>
                </c:pt>
                <c:pt idx="4">
                  <c:v>40.265179205063063</c:v>
                </c:pt>
                <c:pt idx="5">
                  <c:v>40.276114578472821</c:v>
                </c:pt>
                <c:pt idx="6">
                  <c:v>40.286067742589303</c:v>
                </c:pt>
                <c:pt idx="7">
                  <c:v>40.228068244830304</c:v>
                </c:pt>
                <c:pt idx="8">
                  <c:v>40.169880814658654</c:v>
                </c:pt>
              </c:numCache>
            </c:numRef>
          </c:yVal>
          <c:smooth val="1"/>
        </c:ser>
        <c:ser>
          <c:idx val="2"/>
          <c:order val="2"/>
          <c:tx>
            <c:strRef>
              <c:f>'Dry azimuthal asymmetry'!$AB$1</c:f>
              <c:strCache>
                <c:ptCount val="1"/>
                <c:pt idx="0">
                  <c:v>Ø =26</c:v>
                </c:pt>
              </c:strCache>
            </c:strRef>
          </c:tx>
          <c:xVal>
            <c:numRef>
              <c:f>'Dry azimuthal asymmetry'!$X$2:$X$10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asymmetry'!$AB$2:$AB$10</c:f>
              <c:numCache>
                <c:formatCode>General</c:formatCode>
                <c:ptCount val="9"/>
                <c:pt idx="0">
                  <c:v>40.316495911047227</c:v>
                </c:pt>
                <c:pt idx="1">
                  <c:v>40.354105589200167</c:v>
                </c:pt>
                <c:pt idx="2">
                  <c:v>40.435845653790025</c:v>
                </c:pt>
                <c:pt idx="3">
                  <c:v>40.448006372789699</c:v>
                </c:pt>
                <c:pt idx="4">
                  <c:v>40.41775064056359</c:v>
                </c:pt>
                <c:pt idx="5">
                  <c:v>40.426549397116887</c:v>
                </c:pt>
                <c:pt idx="6">
                  <c:v>40.434799944200428</c:v>
                </c:pt>
                <c:pt idx="7">
                  <c:v>40.376026675224473</c:v>
                </c:pt>
                <c:pt idx="8">
                  <c:v>40.316495911050964</c:v>
                </c:pt>
              </c:numCache>
            </c:numRef>
          </c:yVal>
          <c:smooth val="1"/>
        </c:ser>
        <c:ser>
          <c:idx val="3"/>
          <c:order val="3"/>
          <c:tx>
            <c:strRef>
              <c:f>'Dry azimuthal asymmetry'!$AC$1</c:f>
              <c:strCache>
                <c:ptCount val="1"/>
                <c:pt idx="0">
                  <c:v>Ø =28</c:v>
                </c:pt>
              </c:strCache>
            </c:strRef>
          </c:tx>
          <c:xVal>
            <c:numRef>
              <c:f>'Dry azimuthal asymmetry'!$X$2:$X$10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asymmetry'!$AC$2:$AC$10</c:f>
              <c:numCache>
                <c:formatCode>General</c:formatCode>
                <c:ptCount val="9"/>
                <c:pt idx="0">
                  <c:v>40.472148457019344</c:v>
                </c:pt>
                <c:pt idx="1">
                  <c:v>40.509293430213383</c:v>
                </c:pt>
                <c:pt idx="2">
                  <c:v>40.593482444880379</c:v>
                </c:pt>
                <c:pt idx="3">
                  <c:v>40.608796567091993</c:v>
                </c:pt>
                <c:pt idx="4">
                  <c:v>40.578900911044812</c:v>
                </c:pt>
                <c:pt idx="5">
                  <c:v>40.585609675233201</c:v>
                </c:pt>
                <c:pt idx="6">
                  <c:v>40.592316294305768</c:v>
                </c:pt>
                <c:pt idx="7">
                  <c:v>40.532959062028816</c:v>
                </c:pt>
                <c:pt idx="8">
                  <c:v>40.472148457025654</c:v>
                </c:pt>
              </c:numCache>
            </c:numRef>
          </c:yVal>
          <c:smooth val="1"/>
        </c:ser>
        <c:ser>
          <c:idx val="4"/>
          <c:order val="4"/>
          <c:tx>
            <c:strRef>
              <c:f>'Dry azimuthal asymmetry'!$AD$1</c:f>
              <c:strCache>
                <c:ptCount val="1"/>
                <c:pt idx="0">
                  <c:v>Ø =30</c:v>
                </c:pt>
              </c:strCache>
            </c:strRef>
          </c:tx>
          <c:xVal>
            <c:numRef>
              <c:f>'Dry azimuthal asymmetry'!$X$2:$X$10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asymmetry'!$AD$2:$AD$10</c:f>
              <c:numCache>
                <c:formatCode>General</c:formatCode>
                <c:ptCount val="9"/>
                <c:pt idx="0">
                  <c:v>40.636147634773138</c:v>
                </c:pt>
                <c:pt idx="1">
                  <c:v>40.672752884766908</c:v>
                </c:pt>
                <c:pt idx="2">
                  <c:v>40.759217048367326</c:v>
                </c:pt>
                <c:pt idx="3">
                  <c:v>40.777508553012424</c:v>
                </c:pt>
                <c:pt idx="4">
                  <c:v>40.747911086510157</c:v>
                </c:pt>
                <c:pt idx="5">
                  <c:v>40.752585017393358</c:v>
                </c:pt>
                <c:pt idx="6">
                  <c:v>40.75792013758106</c:v>
                </c:pt>
                <c:pt idx="7">
                  <c:v>40.698174751438302</c:v>
                </c:pt>
                <c:pt idx="8">
                  <c:v>40.636147634782645</c:v>
                </c:pt>
              </c:numCache>
            </c:numRef>
          </c:yVal>
          <c:smooth val="1"/>
        </c:ser>
        <c:ser>
          <c:idx val="5"/>
          <c:order val="5"/>
          <c:tx>
            <c:strRef>
              <c:f>'Dry azimuthal asymmetry'!$AE$1</c:f>
              <c:strCache>
                <c:ptCount val="1"/>
                <c:pt idx="0">
                  <c:v>Ø =32</c:v>
                </c:pt>
              </c:strCache>
            </c:strRef>
          </c:tx>
          <c:xVal>
            <c:numRef>
              <c:f>'Dry azimuthal asymmetry'!$X$2:$X$10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asymmetry'!$AE$2:$AE$10</c:f>
              <c:numCache>
                <c:formatCode>General</c:formatCode>
                <c:ptCount val="9"/>
                <c:pt idx="0">
                  <c:v>40.807759255573892</c:v>
                </c:pt>
                <c:pt idx="1">
                  <c:v>40.843750906819011</c:v>
                </c:pt>
                <c:pt idx="2">
                  <c:v>40.93231051713888</c:v>
                </c:pt>
                <c:pt idx="3">
                  <c:v>40.953388302259995</c:v>
                </c:pt>
                <c:pt idx="4">
                  <c:v>40.924020597884592</c:v>
                </c:pt>
                <c:pt idx="5">
                  <c:v>40.926723301611304</c:v>
                </c:pt>
                <c:pt idx="6">
                  <c:v>40.930872193894544</c:v>
                </c:pt>
                <c:pt idx="7">
                  <c:v>40.870939757640272</c:v>
                </c:pt>
                <c:pt idx="8">
                  <c:v>40.807759255571092</c:v>
                </c:pt>
              </c:numCache>
            </c:numRef>
          </c:yVal>
          <c:smooth val="1"/>
        </c:ser>
        <c:dLbls>
          <c:showLegendKey val="0"/>
          <c:showVal val="0"/>
          <c:showCatName val="0"/>
          <c:showSerName val="0"/>
          <c:showPercent val="0"/>
          <c:showBubbleSize val="0"/>
        </c:dLbls>
        <c:axId val="427714384"/>
        <c:axId val="427713208"/>
      </c:scatterChart>
      <c:valAx>
        <c:axId val="427714384"/>
        <c:scaling>
          <c:orientation val="minMax"/>
          <c:max val="360"/>
        </c:scaling>
        <c:delete val="0"/>
        <c:axPos val="b"/>
        <c:title>
          <c:tx>
            <c:rich>
              <a:bodyPr/>
              <a:lstStyle/>
              <a:p>
                <a:pPr>
                  <a:defRPr lang="ar-EG" sz="800" b="0"/>
                </a:pPr>
                <a:r>
                  <a:rPr lang="en-US" sz="1400" b="0" i="0" baseline="0">
                    <a:effectLst/>
                  </a:rPr>
                  <a:t>Azimuth Angle (°)</a:t>
                </a:r>
                <a:endParaRPr lang="en-US" sz="1100">
                  <a:effectLst/>
                </a:endParaRPr>
              </a:p>
            </c:rich>
          </c:tx>
          <c:overlay val="0"/>
        </c:title>
        <c:numFmt formatCode="General" sourceLinked="1"/>
        <c:majorTickMark val="out"/>
        <c:minorTickMark val="none"/>
        <c:tickLblPos val="nextTo"/>
        <c:txPr>
          <a:bodyPr/>
          <a:lstStyle/>
          <a:p>
            <a:pPr>
              <a:defRPr lang="ar-EG" sz="1200"/>
            </a:pPr>
            <a:endParaRPr lang="en-US"/>
          </a:p>
        </c:txPr>
        <c:crossAx val="427713208"/>
        <c:crosses val="autoZero"/>
        <c:crossBetween val="midCat"/>
        <c:majorUnit val="45"/>
      </c:valAx>
      <c:valAx>
        <c:axId val="427713208"/>
        <c:scaling>
          <c:orientation val="minMax"/>
        </c:scaling>
        <c:delete val="0"/>
        <c:axPos val="l"/>
        <c:majorGridlines/>
        <c:title>
          <c:tx>
            <c:rich>
              <a:bodyPr rot="-5400000" vert="horz"/>
              <a:lstStyle/>
              <a:p>
                <a:pPr>
                  <a:defRPr lang="ar-EG" sz="800"/>
                </a:pPr>
                <a:r>
                  <a:rPr lang="en-US" sz="1400" b="0" i="0" baseline="0">
                    <a:effectLst/>
                  </a:rPr>
                  <a:t>Tropospheric Dry Delay (m)</a:t>
                </a:r>
                <a:endParaRPr lang="ar-EG" sz="800" b="0">
                  <a:effectLst/>
                </a:endParaRPr>
              </a:p>
            </c:rich>
          </c:tx>
          <c:layout>
            <c:manualLayout>
              <c:xMode val="edge"/>
              <c:yMode val="edge"/>
              <c:x val="8.9549772821148291E-3"/>
              <c:y val="0.11204603734877967"/>
            </c:manualLayout>
          </c:layout>
          <c:overlay val="0"/>
        </c:title>
        <c:numFmt formatCode="#,##0.0" sourceLinked="0"/>
        <c:majorTickMark val="out"/>
        <c:minorTickMark val="none"/>
        <c:tickLblPos val="nextTo"/>
        <c:txPr>
          <a:bodyPr/>
          <a:lstStyle/>
          <a:p>
            <a:pPr>
              <a:defRPr lang="ar-EG" sz="1200"/>
            </a:pPr>
            <a:endParaRPr lang="en-US"/>
          </a:p>
        </c:txPr>
        <c:crossAx val="427714384"/>
        <c:crosses val="autoZero"/>
        <c:crossBetween val="midCat"/>
        <c:majorUnit val="0.2"/>
      </c:valAx>
      <c:spPr>
        <a:ln>
          <a:solidFill>
            <a:schemeClr val="tx1"/>
          </a:solidFill>
        </a:ln>
      </c:spPr>
    </c:plotArea>
    <c:legend>
      <c:legendPos val="t"/>
      <c:layout>
        <c:manualLayout>
          <c:xMode val="edge"/>
          <c:yMode val="edge"/>
          <c:x val="8.0092592592592993E-2"/>
          <c:y val="0"/>
          <c:w val="0.9"/>
          <c:h val="0.11797840022211818"/>
        </c:manualLayout>
      </c:layout>
      <c:overlay val="0"/>
      <c:txPr>
        <a:bodyPr/>
        <a:lstStyle/>
        <a:p>
          <a:pPr>
            <a:defRPr lang="ar-EG" sz="1400"/>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73924613590036"/>
          <c:y val="0.13120312547138521"/>
          <c:w val="0.82126075386410069"/>
          <c:h val="0.64313874558783601"/>
        </c:manualLayout>
      </c:layout>
      <c:scatterChart>
        <c:scatterStyle val="smoothMarker"/>
        <c:varyColors val="0"/>
        <c:ser>
          <c:idx val="0"/>
          <c:order val="0"/>
          <c:tx>
            <c:strRef>
              <c:f>'Dry azimuthal asymmetry'!$Z$39</c:f>
              <c:strCache>
                <c:ptCount val="1"/>
                <c:pt idx="0">
                  <c:v>Ø = 22</c:v>
                </c:pt>
              </c:strCache>
            </c:strRef>
          </c:tx>
          <c:xVal>
            <c:numRef>
              <c:f>'Dry azimuthal asymmetry'!$X$40:$X$48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asymmetry'!$Z$40:$Z$48</c:f>
              <c:numCache>
                <c:formatCode>General</c:formatCode>
                <c:ptCount val="9"/>
                <c:pt idx="0">
                  <c:v>39.568447609241915</c:v>
                </c:pt>
                <c:pt idx="1">
                  <c:v>39.599626711713874</c:v>
                </c:pt>
                <c:pt idx="2">
                  <c:v>39.660260096965487</c:v>
                </c:pt>
                <c:pt idx="3">
                  <c:v>39.652268715929381</c:v>
                </c:pt>
                <c:pt idx="4">
                  <c:v>39.616303489992795</c:v>
                </c:pt>
                <c:pt idx="5">
                  <c:v>39.634139925795353</c:v>
                </c:pt>
                <c:pt idx="6">
                  <c:v>39.659372736228313</c:v>
                </c:pt>
                <c:pt idx="7">
                  <c:v>39.618129003994376</c:v>
                </c:pt>
                <c:pt idx="8">
                  <c:v>39.568447609246967</c:v>
                </c:pt>
              </c:numCache>
            </c:numRef>
          </c:yVal>
          <c:smooth val="1"/>
        </c:ser>
        <c:ser>
          <c:idx val="1"/>
          <c:order val="1"/>
          <c:tx>
            <c:strRef>
              <c:f>'Dry azimuthal asymmetry'!$AA$39</c:f>
              <c:strCache>
                <c:ptCount val="1"/>
                <c:pt idx="0">
                  <c:v>Ø =24</c:v>
                </c:pt>
              </c:strCache>
            </c:strRef>
          </c:tx>
          <c:xVal>
            <c:numRef>
              <c:f>'Dry azimuthal asymmetry'!$X$40:$X$48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asymmetry'!$AA$40:$AA$48</c:f>
              <c:numCache>
                <c:formatCode>General</c:formatCode>
                <c:ptCount val="9"/>
                <c:pt idx="0">
                  <c:v>39.61382024914483</c:v>
                </c:pt>
                <c:pt idx="1">
                  <c:v>39.644246976490145</c:v>
                </c:pt>
                <c:pt idx="2">
                  <c:v>39.706482969592784</c:v>
                </c:pt>
                <c:pt idx="3">
                  <c:v>39.700903396933363</c:v>
                </c:pt>
                <c:pt idx="4">
                  <c:v>39.665101199499894</c:v>
                </c:pt>
                <c:pt idx="5">
                  <c:v>39.681210570961255</c:v>
                </c:pt>
                <c:pt idx="6">
                  <c:v>39.705537205295883</c:v>
                </c:pt>
                <c:pt idx="7">
                  <c:v>39.66437480811642</c:v>
                </c:pt>
                <c:pt idx="8">
                  <c:v>39.613820249141988</c:v>
                </c:pt>
              </c:numCache>
            </c:numRef>
          </c:yVal>
          <c:smooth val="1"/>
        </c:ser>
        <c:ser>
          <c:idx val="2"/>
          <c:order val="2"/>
          <c:tx>
            <c:strRef>
              <c:f>'Dry azimuthal asymmetry'!$AB$39</c:f>
              <c:strCache>
                <c:ptCount val="1"/>
                <c:pt idx="0">
                  <c:v>Ø =26</c:v>
                </c:pt>
              </c:strCache>
            </c:strRef>
          </c:tx>
          <c:xVal>
            <c:numRef>
              <c:f>'Dry azimuthal asymmetry'!$X$40:$X$48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asymmetry'!$AB$40:$AB$48</c:f>
              <c:numCache>
                <c:formatCode>General</c:formatCode>
                <c:ptCount val="9"/>
                <c:pt idx="0">
                  <c:v>39.662243326908957</c:v>
                </c:pt>
                <c:pt idx="1">
                  <c:v>39.691875495142845</c:v>
                </c:pt>
                <c:pt idx="2">
                  <c:v>39.755599156448952</c:v>
                </c:pt>
                <c:pt idx="3">
                  <c:v>39.752350645964995</c:v>
                </c:pt>
                <c:pt idx="4">
                  <c:v>39.716715696863112</c:v>
                </c:pt>
                <c:pt idx="5">
                  <c:v>39.731115478062215</c:v>
                </c:pt>
                <c:pt idx="6">
                  <c:v>39.754587947742763</c:v>
                </c:pt>
                <c:pt idx="7">
                  <c:v>39.713612603713294</c:v>
                </c:pt>
                <c:pt idx="8">
                  <c:v>39.662243326902313</c:v>
                </c:pt>
              </c:numCache>
            </c:numRef>
          </c:yVal>
          <c:smooth val="1"/>
        </c:ser>
        <c:ser>
          <c:idx val="3"/>
          <c:order val="3"/>
          <c:tx>
            <c:strRef>
              <c:f>'Dry azimuthal asymmetry'!$AC$39</c:f>
              <c:strCache>
                <c:ptCount val="1"/>
                <c:pt idx="0">
                  <c:v>Ø =28</c:v>
                </c:pt>
              </c:strCache>
            </c:strRef>
          </c:tx>
          <c:xVal>
            <c:numRef>
              <c:f>'Dry azimuthal asymmetry'!$X$40:$X$48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asymmetry'!$AC$40:$AC$48</c:f>
              <c:numCache>
                <c:formatCode>General</c:formatCode>
                <c:ptCount val="9"/>
                <c:pt idx="0">
                  <c:v>39.713459364018952</c:v>
                </c:pt>
                <c:pt idx="1">
                  <c:v>39.742257179795544</c:v>
                </c:pt>
                <c:pt idx="2">
                  <c:v>39.807350488706547</c:v>
                </c:pt>
                <c:pt idx="3">
                  <c:v>39.806341484655825</c:v>
                </c:pt>
                <c:pt idx="4">
                  <c:v>39.770873452208399</c:v>
                </c:pt>
                <c:pt idx="5">
                  <c:v>39.783587517336173</c:v>
                </c:pt>
                <c:pt idx="6">
                  <c:v>39.806266270592197</c:v>
                </c:pt>
                <c:pt idx="7">
                  <c:v>39.765585534738413</c:v>
                </c:pt>
                <c:pt idx="8">
                  <c:v>39.713459364021169</c:v>
                </c:pt>
              </c:numCache>
            </c:numRef>
          </c:yVal>
          <c:smooth val="1"/>
        </c:ser>
        <c:ser>
          <c:idx val="4"/>
          <c:order val="4"/>
          <c:tx>
            <c:strRef>
              <c:f>'Dry azimuthal asymmetry'!$AD$39</c:f>
              <c:strCache>
                <c:ptCount val="1"/>
                <c:pt idx="0">
                  <c:v>Ø =30</c:v>
                </c:pt>
              </c:strCache>
            </c:strRef>
          </c:tx>
          <c:xVal>
            <c:numRef>
              <c:f>'Dry azimuthal asymmetry'!$X$40:$X$48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asymmetry'!$AD$40:$AD$48</c:f>
              <c:numCache>
                <c:formatCode>General</c:formatCode>
                <c:ptCount val="9"/>
                <c:pt idx="0">
                  <c:v>39.76719835594438</c:v>
                </c:pt>
                <c:pt idx="1">
                  <c:v>39.795124586161513</c:v>
                </c:pt>
                <c:pt idx="2">
                  <c:v>39.861466840029465</c:v>
                </c:pt>
                <c:pt idx="3">
                  <c:v>39.862595215284173</c:v>
                </c:pt>
                <c:pt idx="4">
                  <c:v>39.827289315815975</c:v>
                </c:pt>
                <c:pt idx="5">
                  <c:v>39.8383478878375</c:v>
                </c:pt>
                <c:pt idx="6">
                  <c:v>39.860301462934494</c:v>
                </c:pt>
                <c:pt idx="7">
                  <c:v>39.820024373393807</c:v>
                </c:pt>
                <c:pt idx="8">
                  <c:v>39.767198355947258</c:v>
                </c:pt>
              </c:numCache>
            </c:numRef>
          </c:yVal>
          <c:smooth val="1"/>
        </c:ser>
        <c:ser>
          <c:idx val="5"/>
          <c:order val="5"/>
          <c:tx>
            <c:strRef>
              <c:f>'Dry azimuthal asymmetry'!$AE$39</c:f>
              <c:strCache>
                <c:ptCount val="1"/>
                <c:pt idx="0">
                  <c:v>Ø =32</c:v>
                </c:pt>
              </c:strCache>
            </c:strRef>
          </c:tx>
          <c:xVal>
            <c:numRef>
              <c:f>'Dry azimuthal asymmetry'!$X$40:$X$48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'Dry azimuthal asymmetry'!$AE$40:$AE$48</c:f>
              <c:numCache>
                <c:formatCode>General</c:formatCode>
                <c:ptCount val="9"/>
                <c:pt idx="0">
                  <c:v>39.823179490819605</c:v>
                </c:pt>
                <c:pt idx="1">
                  <c:v>39.850199605189999</c:v>
                </c:pt>
                <c:pt idx="2">
                  <c:v>39.917667813715546</c:v>
                </c:pt>
                <c:pt idx="3">
                  <c:v>39.920821174924981</c:v>
                </c:pt>
                <c:pt idx="4">
                  <c:v>39.885668329556495</c:v>
                </c:pt>
                <c:pt idx="5">
                  <c:v>39.895107870290005</c:v>
                </c:pt>
                <c:pt idx="6">
                  <c:v>39.916412475720996</c:v>
                </c:pt>
                <c:pt idx="7">
                  <c:v>39.876649220340063</c:v>
                </c:pt>
                <c:pt idx="8">
                  <c:v>39.823179490826085</c:v>
                </c:pt>
              </c:numCache>
            </c:numRef>
          </c:yVal>
          <c:smooth val="1"/>
        </c:ser>
        <c:dLbls>
          <c:showLegendKey val="0"/>
          <c:showVal val="0"/>
          <c:showCatName val="0"/>
          <c:showSerName val="0"/>
          <c:showPercent val="0"/>
          <c:showBubbleSize val="0"/>
        </c:dLbls>
        <c:axId val="383410344"/>
        <c:axId val="383411520"/>
      </c:scatterChart>
      <c:valAx>
        <c:axId val="383410344"/>
        <c:scaling>
          <c:orientation val="minMax"/>
          <c:max val="360"/>
        </c:scaling>
        <c:delete val="0"/>
        <c:axPos val="b"/>
        <c:title>
          <c:tx>
            <c:rich>
              <a:bodyPr/>
              <a:lstStyle/>
              <a:p>
                <a:pPr>
                  <a:defRPr lang="ar-EG" sz="800" b="0"/>
                </a:pPr>
                <a:r>
                  <a:rPr lang="en-US" sz="1400" b="0" i="0" baseline="0">
                    <a:effectLst/>
                  </a:rPr>
                  <a:t>Azimuth Angle (°)</a:t>
                </a:r>
                <a:endParaRPr lang="en-US" sz="1100">
                  <a:effectLst/>
                </a:endParaRPr>
              </a:p>
            </c:rich>
          </c:tx>
          <c:overlay val="0"/>
        </c:title>
        <c:numFmt formatCode="General" sourceLinked="1"/>
        <c:majorTickMark val="out"/>
        <c:minorTickMark val="none"/>
        <c:tickLblPos val="nextTo"/>
        <c:txPr>
          <a:bodyPr/>
          <a:lstStyle/>
          <a:p>
            <a:pPr>
              <a:defRPr lang="ar-EG" sz="1200"/>
            </a:pPr>
            <a:endParaRPr lang="en-US"/>
          </a:p>
        </c:txPr>
        <c:crossAx val="383411520"/>
        <c:crosses val="autoZero"/>
        <c:crossBetween val="midCat"/>
        <c:majorUnit val="45"/>
      </c:valAx>
      <c:valAx>
        <c:axId val="383411520"/>
        <c:scaling>
          <c:orientation val="minMax"/>
        </c:scaling>
        <c:delete val="0"/>
        <c:axPos val="l"/>
        <c:majorGridlines/>
        <c:title>
          <c:tx>
            <c:rich>
              <a:bodyPr rot="-5400000" vert="horz"/>
              <a:lstStyle/>
              <a:p>
                <a:pPr>
                  <a:defRPr lang="ar-EG" sz="800"/>
                </a:pPr>
                <a:r>
                  <a:rPr lang="en-US" sz="1400" b="0" i="0" baseline="0">
                    <a:effectLst/>
                  </a:rPr>
                  <a:t>Tropospheric Dry Delay (m)</a:t>
                </a:r>
                <a:endParaRPr lang="ar-EG" sz="800" b="0">
                  <a:effectLst/>
                </a:endParaRPr>
              </a:p>
            </c:rich>
          </c:tx>
          <c:layout>
            <c:manualLayout>
              <c:xMode val="edge"/>
              <c:yMode val="edge"/>
              <c:x val="8.9549646006091017E-3"/>
              <c:y val="5.5227720114531288E-2"/>
            </c:manualLayout>
          </c:layout>
          <c:overlay val="0"/>
        </c:title>
        <c:numFmt formatCode="#,##0.0" sourceLinked="0"/>
        <c:majorTickMark val="out"/>
        <c:minorTickMark val="none"/>
        <c:tickLblPos val="nextTo"/>
        <c:txPr>
          <a:bodyPr/>
          <a:lstStyle/>
          <a:p>
            <a:pPr>
              <a:defRPr lang="ar-EG" sz="1200"/>
            </a:pPr>
            <a:endParaRPr lang="en-US"/>
          </a:p>
        </c:txPr>
        <c:crossAx val="383410344"/>
        <c:crosses val="autoZero"/>
        <c:crossBetween val="midCat"/>
        <c:majorUnit val="0.2"/>
      </c:valAx>
      <c:spPr>
        <a:ln>
          <a:solidFill>
            <a:schemeClr val="tx1"/>
          </a:solidFill>
        </a:ln>
      </c:spPr>
    </c:plotArea>
    <c:legend>
      <c:legendPos val="t"/>
      <c:layout>
        <c:manualLayout>
          <c:xMode val="edge"/>
          <c:yMode val="edge"/>
          <c:x val="9.861111111111108E-2"/>
          <c:y val="1.8945359102839465E-2"/>
          <c:w val="0.9"/>
          <c:h val="0.1084946222531189"/>
        </c:manualLayout>
      </c:layout>
      <c:overlay val="0"/>
      <c:txPr>
        <a:bodyPr/>
        <a:lstStyle/>
        <a:p>
          <a:pPr>
            <a:defRPr lang="ar-EG" sz="1400"/>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4041246702901"/>
          <c:y val="0.13120312547138521"/>
          <c:w val="0.85135341353706262"/>
          <c:h val="0.64313874558783601"/>
        </c:manualLayout>
      </c:layout>
      <c:scatterChart>
        <c:scatterStyle val="smoothMarker"/>
        <c:varyColors val="0"/>
        <c:ser>
          <c:idx val="0"/>
          <c:order val="0"/>
          <c:tx>
            <c:strRef>
              <c:f>'Wet azimuthal asymmetry ‎'!$D$1</c:f>
              <c:strCache>
                <c:ptCount val="1"/>
                <c:pt idx="0">
                  <c:v>Ø = 22</c:v>
                </c:pt>
              </c:strCache>
            </c:strRef>
          </c:tx>
          <c:xVal>
            <c:numRef>
              <c:f>'Wet azimuthal asymmetry ‎'!$B$2:$B$10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‎'!$D$2:$D$10</c:f>
              <c:numCache>
                <c:formatCode>General</c:formatCode>
                <c:ptCount val="9"/>
                <c:pt idx="0">
                  <c:v>3.473359391667282</c:v>
                </c:pt>
                <c:pt idx="1">
                  <c:v>3.4851745731671255</c:v>
                </c:pt>
                <c:pt idx="2">
                  <c:v>3.5145887156267341</c:v>
                </c:pt>
                <c:pt idx="3">
                  <c:v>3.5397546286022283</c:v>
                </c:pt>
                <c:pt idx="4">
                  <c:v>3.5473589467563378</c:v>
                </c:pt>
                <c:pt idx="5">
                  <c:v>3.5375231612580191</c:v>
                </c:pt>
                <c:pt idx="6">
                  <c:v>3.514477835436093</c:v>
                </c:pt>
                <c:pt idx="7">
                  <c:v>3.4873252491559303</c:v>
                </c:pt>
                <c:pt idx="8">
                  <c:v>3.4733593916642507</c:v>
                </c:pt>
              </c:numCache>
            </c:numRef>
          </c:yVal>
          <c:smooth val="1"/>
        </c:ser>
        <c:ser>
          <c:idx val="1"/>
          <c:order val="1"/>
          <c:tx>
            <c:strRef>
              <c:f>'Wet azimuthal asymmetry ‎'!$E$1</c:f>
              <c:strCache>
                <c:ptCount val="1"/>
                <c:pt idx="0">
                  <c:v>Ø =24</c:v>
                </c:pt>
              </c:strCache>
            </c:strRef>
          </c:tx>
          <c:xVal>
            <c:numRef>
              <c:f>'Wet azimuthal asymmetry ‎'!$B$2:$B$10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‎'!$E$2:$E$10</c:f>
              <c:numCache>
                <c:formatCode>General</c:formatCode>
                <c:ptCount val="9"/>
                <c:pt idx="0">
                  <c:v>3.184592256226376</c:v>
                </c:pt>
                <c:pt idx="1">
                  <c:v>3.1971086361882737</c:v>
                </c:pt>
                <c:pt idx="2">
                  <c:v>3.2283163001492672</c:v>
                </c:pt>
                <c:pt idx="3">
                  <c:v>3.2554561797856327</c:v>
                </c:pt>
                <c:pt idx="4">
                  <c:v>3.2639384016934008</c:v>
                </c:pt>
                <c:pt idx="5">
                  <c:v>3.2532416852252148</c:v>
                </c:pt>
                <c:pt idx="6">
                  <c:v>3.2282094538503792</c:v>
                </c:pt>
                <c:pt idx="7">
                  <c:v>3.1992429719224353</c:v>
                </c:pt>
                <c:pt idx="8">
                  <c:v>3.1845922562276234</c:v>
                </c:pt>
              </c:numCache>
            </c:numRef>
          </c:yVal>
          <c:smooth val="1"/>
        </c:ser>
        <c:ser>
          <c:idx val="2"/>
          <c:order val="2"/>
          <c:tx>
            <c:strRef>
              <c:f>'Wet azimuthal asymmetry ‎'!$F$1</c:f>
              <c:strCache>
                <c:ptCount val="1"/>
                <c:pt idx="0">
                  <c:v>Ø =26</c:v>
                </c:pt>
              </c:strCache>
            </c:strRef>
          </c:tx>
          <c:xVal>
            <c:numRef>
              <c:f>'Wet azimuthal asymmetry ‎'!$B$2:$B$10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‎'!$F$2:$F$10</c:f>
              <c:numCache>
                <c:formatCode>General</c:formatCode>
                <c:ptCount val="9"/>
                <c:pt idx="0">
                  <c:v>2.8772597115395597</c:v>
                </c:pt>
                <c:pt idx="1">
                  <c:v>2.8904290225379992</c:v>
                </c:pt>
                <c:pt idx="2">
                  <c:v>2.9232585088556622</c:v>
                </c:pt>
                <c:pt idx="3">
                  <c:v>2.9522461240918711</c:v>
                </c:pt>
                <c:pt idx="4">
                  <c:v>2.9616010889739202</c:v>
                </c:pt>
                <c:pt idx="5">
                  <c:v>2.9500976149790987</c:v>
                </c:pt>
                <c:pt idx="6">
                  <c:v>2.9231573025958482</c:v>
                </c:pt>
                <c:pt idx="7">
                  <c:v>2.8924972386999332</c:v>
                </c:pt>
                <c:pt idx="8">
                  <c:v>2.8772597115410825</c:v>
                </c:pt>
              </c:numCache>
            </c:numRef>
          </c:yVal>
          <c:smooth val="1"/>
        </c:ser>
        <c:ser>
          <c:idx val="3"/>
          <c:order val="3"/>
          <c:tx>
            <c:strRef>
              <c:f>'Wet azimuthal asymmetry ‎'!$G$1</c:f>
              <c:strCache>
                <c:ptCount val="1"/>
                <c:pt idx="0">
                  <c:v>Ø =28</c:v>
                </c:pt>
              </c:strCache>
            </c:strRef>
          </c:tx>
          <c:xVal>
            <c:numRef>
              <c:f>'Wet azimuthal asymmetry ‎'!$B$2:$B$10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‎'!$G$2:$G$10</c:f>
              <c:numCache>
                <c:formatCode>General</c:formatCode>
                <c:ptCount val="9"/>
                <c:pt idx="0">
                  <c:v>2.5528282987344104</c:v>
                </c:pt>
                <c:pt idx="1">
                  <c:v>2.5665967910929535</c:v>
                </c:pt>
                <c:pt idx="2">
                  <c:v>2.6008642502969352</c:v>
                </c:pt>
                <c:pt idx="3">
                  <c:v>2.6315664777272172</c:v>
                </c:pt>
                <c:pt idx="4">
                  <c:v>2.6417883340297137</c:v>
                </c:pt>
                <c:pt idx="5">
                  <c:v>2.6295342962267889</c:v>
                </c:pt>
                <c:pt idx="6">
                  <c:v>2.6007706301492468</c:v>
                </c:pt>
                <c:pt idx="7">
                  <c:v>2.5685476593069612</c:v>
                </c:pt>
                <c:pt idx="8">
                  <c:v>2.5528282987400668</c:v>
                </c:pt>
              </c:numCache>
            </c:numRef>
          </c:yVal>
          <c:smooth val="1"/>
        </c:ser>
        <c:ser>
          <c:idx val="4"/>
          <c:order val="4"/>
          <c:tx>
            <c:strRef>
              <c:f>'Wet azimuthal asymmetry ‎'!$H$1</c:f>
              <c:strCache>
                <c:ptCount val="1"/>
                <c:pt idx="0">
                  <c:v>Ø =30</c:v>
                </c:pt>
              </c:strCache>
            </c:strRef>
          </c:tx>
          <c:xVal>
            <c:numRef>
              <c:f>'Wet azimuthal asymmetry ‎'!$B$2:$B$10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‎'!$H$2:$H$10</c:f>
              <c:numCache>
                <c:formatCode>General</c:formatCode>
                <c:ptCount val="9"/>
                <c:pt idx="0">
                  <c:v>2.2128488365699903</c:v>
                </c:pt>
                <c:pt idx="1">
                  <c:v>2.2271573393394442</c:v>
                </c:pt>
                <c:pt idx="2">
                  <c:v>2.2626676671578871</c:v>
                </c:pt>
                <c:pt idx="3">
                  <c:v>2.2949450265702627</c:v>
                </c:pt>
                <c:pt idx="4">
                  <c:v>2.3060269088503271</c:v>
                </c:pt>
                <c:pt idx="5">
                  <c:v>2.2930802802332235</c:v>
                </c:pt>
                <c:pt idx="6">
                  <c:v>2.2625839525446452</c:v>
                </c:pt>
                <c:pt idx="7">
                  <c:v>2.2289387607649829</c:v>
                </c:pt>
                <c:pt idx="8">
                  <c:v>2.2128488365699739</c:v>
                </c:pt>
              </c:numCache>
            </c:numRef>
          </c:yVal>
          <c:smooth val="1"/>
        </c:ser>
        <c:ser>
          <c:idx val="5"/>
          <c:order val="5"/>
          <c:tx>
            <c:strRef>
              <c:f>'Wet azimuthal asymmetry ‎'!$I$1</c:f>
              <c:strCache>
                <c:ptCount val="1"/>
                <c:pt idx="0">
                  <c:v>Ø =32</c:v>
                </c:pt>
              </c:strCache>
            </c:strRef>
          </c:tx>
          <c:xVal>
            <c:numRef>
              <c:f>'Wet azimuthal asymmetry ‎'!$B$2:$B$10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‎'!$I$2:$I$10</c:f>
              <c:numCache>
                <c:formatCode>General</c:formatCode>
                <c:ptCount val="9"/>
                <c:pt idx="0">
                  <c:v>1.8589527741791561</c:v>
                </c:pt>
                <c:pt idx="1">
                  <c:v>1.873734675316119</c:v>
                </c:pt>
                <c:pt idx="2">
                  <c:v>1.9102813438789241</c:v>
                </c:pt>
                <c:pt idx="3">
                  <c:v>1.9439885267445745</c:v>
                </c:pt>
                <c:pt idx="4">
                  <c:v>1.9559221824433208</c:v>
                </c:pt>
                <c:pt idx="5">
                  <c:v>1.9423425114465647</c:v>
                </c:pt>
                <c:pt idx="6">
                  <c:v>1.9102102615345216</c:v>
                </c:pt>
                <c:pt idx="7">
                  <c:v>1.8752942775669348</c:v>
                </c:pt>
                <c:pt idx="8">
                  <c:v>1.8589527741808947</c:v>
                </c:pt>
              </c:numCache>
            </c:numRef>
          </c:yVal>
          <c:smooth val="1"/>
        </c:ser>
        <c:dLbls>
          <c:showLegendKey val="0"/>
          <c:showVal val="0"/>
          <c:showCatName val="0"/>
          <c:showSerName val="0"/>
          <c:showPercent val="0"/>
          <c:showBubbleSize val="0"/>
        </c:dLbls>
        <c:axId val="383412696"/>
        <c:axId val="383407600"/>
      </c:scatterChart>
      <c:valAx>
        <c:axId val="383412696"/>
        <c:scaling>
          <c:orientation val="minMax"/>
          <c:max val="360"/>
        </c:scaling>
        <c:delete val="0"/>
        <c:axPos val="b"/>
        <c:title>
          <c:tx>
            <c:rich>
              <a:bodyPr/>
              <a:lstStyle/>
              <a:p>
                <a:pPr>
                  <a:defRPr lang="ar-EG" sz="800" b="0"/>
                </a:pPr>
                <a:r>
                  <a:rPr lang="en-US" sz="1400" b="0" i="0" baseline="0">
                    <a:effectLst/>
                  </a:rPr>
                  <a:t>Azimuth Angle (°)</a:t>
                </a:r>
                <a:endParaRPr lang="en-US" sz="1100">
                  <a:effectLst/>
                </a:endParaRPr>
              </a:p>
            </c:rich>
          </c:tx>
          <c:overlay val="0"/>
        </c:title>
        <c:numFmt formatCode="General" sourceLinked="1"/>
        <c:majorTickMark val="out"/>
        <c:minorTickMark val="none"/>
        <c:tickLblPos val="nextTo"/>
        <c:txPr>
          <a:bodyPr/>
          <a:lstStyle/>
          <a:p>
            <a:pPr>
              <a:defRPr lang="ar-EG" sz="1200"/>
            </a:pPr>
            <a:endParaRPr lang="en-US"/>
          </a:p>
        </c:txPr>
        <c:crossAx val="383407600"/>
        <c:crosses val="autoZero"/>
        <c:crossBetween val="midCat"/>
        <c:majorUnit val="45"/>
      </c:valAx>
      <c:valAx>
        <c:axId val="383407600"/>
        <c:scaling>
          <c:orientation val="minMax"/>
          <c:min val="1.8"/>
        </c:scaling>
        <c:delete val="0"/>
        <c:axPos val="l"/>
        <c:majorGridlines/>
        <c:title>
          <c:tx>
            <c:rich>
              <a:bodyPr rot="-5400000" vert="horz"/>
              <a:lstStyle/>
              <a:p>
                <a:pPr>
                  <a:defRPr lang="ar-EG" sz="800"/>
                </a:pPr>
                <a:r>
                  <a:rPr lang="en-US" sz="1400" b="0" i="0" baseline="0">
                    <a:effectLst/>
                  </a:rPr>
                  <a:t>Tropospheric  Wet  Delay (m)</a:t>
                </a:r>
                <a:endParaRPr lang="ar-EG" sz="800" b="0">
                  <a:effectLst/>
                </a:endParaRPr>
              </a:p>
            </c:rich>
          </c:tx>
          <c:layout>
            <c:manualLayout>
              <c:xMode val="edge"/>
              <c:yMode val="edge"/>
              <c:x val="8.9549772821148291E-3"/>
              <c:y val="0.11204603734877967"/>
            </c:manualLayout>
          </c:layout>
          <c:overlay val="0"/>
        </c:title>
        <c:numFmt formatCode="#,##0.0" sourceLinked="0"/>
        <c:majorTickMark val="out"/>
        <c:minorTickMark val="none"/>
        <c:tickLblPos val="nextTo"/>
        <c:txPr>
          <a:bodyPr/>
          <a:lstStyle/>
          <a:p>
            <a:pPr>
              <a:defRPr lang="ar-EG" sz="1200"/>
            </a:pPr>
            <a:endParaRPr lang="en-US"/>
          </a:p>
        </c:txPr>
        <c:crossAx val="383412696"/>
        <c:crosses val="autoZero"/>
        <c:crossBetween val="midCat"/>
        <c:majorUnit val="0.2"/>
      </c:valAx>
      <c:spPr>
        <a:ln>
          <a:solidFill>
            <a:schemeClr val="tx1"/>
          </a:solidFill>
        </a:ln>
      </c:spPr>
    </c:plotArea>
    <c:legend>
      <c:legendPos val="t"/>
      <c:overlay val="0"/>
      <c:txPr>
        <a:bodyPr/>
        <a:lstStyle/>
        <a:p>
          <a:pPr>
            <a:defRPr lang="ar-EG" sz="1400"/>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25776465441819"/>
          <c:y val="0.13120312547138521"/>
          <c:w val="0.80274223534558409"/>
          <c:h val="0.64313874558783601"/>
        </c:manualLayout>
      </c:layout>
      <c:scatterChart>
        <c:scatterStyle val="smoothMarker"/>
        <c:varyColors val="0"/>
        <c:ser>
          <c:idx val="0"/>
          <c:order val="0"/>
          <c:tx>
            <c:strRef>
              <c:f>'Wet azimuthal asymmetry ‎'!$D$39</c:f>
              <c:strCache>
                <c:ptCount val="1"/>
                <c:pt idx="0">
                  <c:v>Ø = 22</c:v>
                </c:pt>
              </c:strCache>
            </c:strRef>
          </c:tx>
          <c:xVal>
            <c:numRef>
              <c:f>'Wet azimuthal asymmetry ‎'!$B$40:$B$48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‎'!$D$40:$D$48</c:f>
              <c:numCache>
                <c:formatCode>General</c:formatCode>
                <c:ptCount val="9"/>
                <c:pt idx="0">
                  <c:v>3.2981104091777422</c:v>
                </c:pt>
                <c:pt idx="1">
                  <c:v>3.3212126602624217</c:v>
                </c:pt>
                <c:pt idx="2">
                  <c:v>3.3766843989226025</c:v>
                </c:pt>
                <c:pt idx="3">
                  <c:v>3.4265169217632727</c:v>
                </c:pt>
                <c:pt idx="4">
                  <c:v>3.4440018441437421</c:v>
                </c:pt>
                <c:pt idx="5">
                  <c:v>3.4245228017699092</c:v>
                </c:pt>
                <c:pt idx="6">
                  <c:v>3.3766135240959767</c:v>
                </c:pt>
                <c:pt idx="7">
                  <c:v>3.3231425933195387</c:v>
                </c:pt>
                <c:pt idx="8">
                  <c:v>3.2981104091761266</c:v>
                </c:pt>
              </c:numCache>
            </c:numRef>
          </c:yVal>
          <c:smooth val="1"/>
        </c:ser>
        <c:ser>
          <c:idx val="1"/>
          <c:order val="1"/>
          <c:tx>
            <c:strRef>
              <c:f>'Wet azimuthal asymmetry ‎'!$E$39</c:f>
              <c:strCache>
                <c:ptCount val="1"/>
                <c:pt idx="0">
                  <c:v>Ø =24</c:v>
                </c:pt>
              </c:strCache>
            </c:strRef>
          </c:tx>
          <c:xVal>
            <c:numRef>
              <c:f>'Wet azimuthal asymmetry ‎'!$B$40:$B$48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‎'!$E$40:$E$48</c:f>
              <c:numCache>
                <c:formatCode>General</c:formatCode>
                <c:ptCount val="9"/>
                <c:pt idx="0">
                  <c:v>3.3132885555340224</c:v>
                </c:pt>
                <c:pt idx="1">
                  <c:v>3.3379991142684777</c:v>
                </c:pt>
                <c:pt idx="2">
                  <c:v>3.3978472324431768</c:v>
                </c:pt>
                <c:pt idx="3">
                  <c:v>3.4521366700229272</c:v>
                </c:pt>
                <c:pt idx="4">
                  <c:v>3.4712872352029316</c:v>
                </c:pt>
                <c:pt idx="5">
                  <c:v>3.4498484453897769</c:v>
                </c:pt>
                <c:pt idx="6">
                  <c:v>3.3977266126512711</c:v>
                </c:pt>
                <c:pt idx="7">
                  <c:v>3.3401511084757951</c:v>
                </c:pt>
                <c:pt idx="8">
                  <c:v>3.3132885555340668</c:v>
                </c:pt>
              </c:numCache>
            </c:numRef>
          </c:yVal>
          <c:smooth val="1"/>
        </c:ser>
        <c:ser>
          <c:idx val="2"/>
          <c:order val="2"/>
          <c:tx>
            <c:strRef>
              <c:f>'Wet azimuthal asymmetry ‎'!$F$39</c:f>
              <c:strCache>
                <c:ptCount val="1"/>
                <c:pt idx="0">
                  <c:v>Ø =26</c:v>
                </c:pt>
              </c:strCache>
            </c:strRef>
          </c:tx>
          <c:xVal>
            <c:numRef>
              <c:f>'Wet azimuthal asymmetry ‎'!$B$40:$B$48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‎'!$F$40:$F$48</c:f>
              <c:numCache>
                <c:formatCode>General</c:formatCode>
                <c:ptCount val="9"/>
                <c:pt idx="0">
                  <c:v>3.3291551149004177</c:v>
                </c:pt>
                <c:pt idx="1">
                  <c:v>3.355429869464726</c:v>
                </c:pt>
                <c:pt idx="2">
                  <c:v>3.4195569080184778</c:v>
                </c:pt>
                <c:pt idx="3">
                  <c:v>3.4781769887088134</c:v>
                </c:pt>
                <c:pt idx="4">
                  <c:v>3.4989204769608637</c:v>
                </c:pt>
                <c:pt idx="5">
                  <c:v>3.4755753410944283</c:v>
                </c:pt>
                <c:pt idx="6">
                  <c:v>3.4193834645508563</c:v>
                </c:pt>
                <c:pt idx="7">
                  <c:v>3.3578203415925212</c:v>
                </c:pt>
                <c:pt idx="8">
                  <c:v>3.3291551149004937</c:v>
                </c:pt>
              </c:numCache>
            </c:numRef>
          </c:yVal>
          <c:smooth val="1"/>
        </c:ser>
        <c:ser>
          <c:idx val="3"/>
          <c:order val="3"/>
          <c:tx>
            <c:strRef>
              <c:f>'Wet azimuthal asymmetry ‎'!$G$39</c:f>
              <c:strCache>
                <c:ptCount val="1"/>
                <c:pt idx="0">
                  <c:v>Ø =28</c:v>
                </c:pt>
              </c:strCache>
            </c:strRef>
          </c:tx>
          <c:xVal>
            <c:numRef>
              <c:f>'Wet azimuthal asymmetry ‎'!$B$40:$B$48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‎'!$G$40:$G$48</c:f>
              <c:numCache>
                <c:formatCode>General</c:formatCode>
                <c:ptCount val="9"/>
                <c:pt idx="0">
                  <c:v>3.3454358459694102</c:v>
                </c:pt>
                <c:pt idx="1">
                  <c:v>3.3732275282643642</c:v>
                </c:pt>
                <c:pt idx="2">
                  <c:v>3.441523977203135</c:v>
                </c:pt>
                <c:pt idx="3">
                  <c:v>3.5043288585021699</c:v>
                </c:pt>
                <c:pt idx="4">
                  <c:v>3.5265823898920172</c:v>
                </c:pt>
                <c:pt idx="5">
                  <c:v>3.5013944432334392</c:v>
                </c:pt>
                <c:pt idx="6">
                  <c:v>3.4412946754143809</c:v>
                </c:pt>
                <c:pt idx="7">
                  <c:v>3.3758734354048285</c:v>
                </c:pt>
                <c:pt idx="8">
                  <c:v>3.3454358459676818</c:v>
                </c:pt>
              </c:numCache>
            </c:numRef>
          </c:yVal>
          <c:smooth val="1"/>
        </c:ser>
        <c:ser>
          <c:idx val="4"/>
          <c:order val="4"/>
          <c:tx>
            <c:strRef>
              <c:f>'Wet azimuthal asymmetry ‎'!$H$39</c:f>
              <c:strCache>
                <c:ptCount val="1"/>
                <c:pt idx="0">
                  <c:v>Ø =30</c:v>
                </c:pt>
              </c:strCache>
            </c:strRef>
          </c:tx>
          <c:xVal>
            <c:numRef>
              <c:f>'Wet azimuthal asymmetry ‎'!$B$40:$B$48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‎'!$H$40:$H$48</c:f>
              <c:numCache>
                <c:formatCode>General</c:formatCode>
                <c:ptCount val="9"/>
                <c:pt idx="0">
                  <c:v>3.3618491256284297</c:v>
                </c:pt>
                <c:pt idx="1">
                  <c:v>3.39110685618272</c:v>
                </c:pt>
                <c:pt idx="2">
                  <c:v>3.4634496012127443</c:v>
                </c:pt>
                <c:pt idx="3">
                  <c:v>3.5302722950803926</c:v>
                </c:pt>
                <c:pt idx="4">
                  <c:v>3.5539424039838901</c:v>
                </c:pt>
                <c:pt idx="5">
                  <c:v>3.5269860170200151</c:v>
                </c:pt>
                <c:pt idx="6">
                  <c:v>3.4631614022177204</c:v>
                </c:pt>
                <c:pt idx="7">
                  <c:v>3.3940254129653207</c:v>
                </c:pt>
                <c:pt idx="8">
                  <c:v>3.3618491256297101</c:v>
                </c:pt>
              </c:numCache>
            </c:numRef>
          </c:yVal>
          <c:smooth val="1"/>
        </c:ser>
        <c:ser>
          <c:idx val="5"/>
          <c:order val="5"/>
          <c:tx>
            <c:strRef>
              <c:f>'Wet azimuthal asymmetry ‎'!$I$39</c:f>
              <c:strCache>
                <c:ptCount val="1"/>
                <c:pt idx="0">
                  <c:v>Ø =32</c:v>
                </c:pt>
              </c:strCache>
            </c:strRef>
          </c:tx>
          <c:xVal>
            <c:numRef>
              <c:f>'Wet azimuthal asymmetry ‎'!$B$40:$B$48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‎'!$I$40:$I$48</c:f>
              <c:numCache>
                <c:formatCode>General</c:formatCode>
                <c:ptCount val="9"/>
                <c:pt idx="0">
                  <c:v>3.4128016308277727</c:v>
                </c:pt>
                <c:pt idx="1">
                  <c:v>3.4285925602575937</c:v>
                </c:pt>
                <c:pt idx="2">
                  <c:v>3.4867457850872974</c:v>
                </c:pt>
                <c:pt idx="3">
                  <c:v>3.5556797032327867</c:v>
                </c:pt>
                <c:pt idx="4">
                  <c:v>3.5806619554921686</c:v>
                </c:pt>
                <c:pt idx="5">
                  <c:v>3.5520230145203349</c:v>
                </c:pt>
                <c:pt idx="6">
                  <c:v>3.4863955849417172</c:v>
                </c:pt>
                <c:pt idx="7">
                  <c:v>3.4318431209698073</c:v>
                </c:pt>
                <c:pt idx="8">
                  <c:v>3.4128016308278575</c:v>
                </c:pt>
              </c:numCache>
            </c:numRef>
          </c:yVal>
          <c:smooth val="1"/>
        </c:ser>
        <c:dLbls>
          <c:showLegendKey val="0"/>
          <c:showVal val="0"/>
          <c:showCatName val="0"/>
          <c:showSerName val="0"/>
          <c:showPercent val="0"/>
          <c:showBubbleSize val="0"/>
        </c:dLbls>
        <c:axId val="416569688"/>
        <c:axId val="416566552"/>
      </c:scatterChart>
      <c:valAx>
        <c:axId val="416569688"/>
        <c:scaling>
          <c:orientation val="minMax"/>
          <c:max val="360"/>
        </c:scaling>
        <c:delete val="0"/>
        <c:axPos val="b"/>
        <c:title>
          <c:tx>
            <c:rich>
              <a:bodyPr/>
              <a:lstStyle/>
              <a:p>
                <a:pPr>
                  <a:defRPr lang="ar-EG" sz="800" b="0"/>
                </a:pPr>
                <a:r>
                  <a:rPr lang="en-US" sz="1400" b="0" i="0" baseline="0">
                    <a:effectLst/>
                  </a:rPr>
                  <a:t>Azimuth Angle (°)</a:t>
                </a:r>
                <a:endParaRPr lang="en-US" sz="1100">
                  <a:effectLst/>
                </a:endParaRPr>
              </a:p>
            </c:rich>
          </c:tx>
          <c:overlay val="0"/>
        </c:title>
        <c:numFmt formatCode="General" sourceLinked="1"/>
        <c:majorTickMark val="out"/>
        <c:minorTickMark val="none"/>
        <c:tickLblPos val="nextTo"/>
        <c:txPr>
          <a:bodyPr/>
          <a:lstStyle/>
          <a:p>
            <a:pPr>
              <a:defRPr lang="ar-EG" sz="1200"/>
            </a:pPr>
            <a:endParaRPr lang="en-US"/>
          </a:p>
        </c:txPr>
        <c:crossAx val="416566552"/>
        <c:crosses val="autoZero"/>
        <c:crossBetween val="midCat"/>
        <c:majorUnit val="45"/>
      </c:valAx>
      <c:valAx>
        <c:axId val="416566552"/>
        <c:scaling>
          <c:orientation val="minMax"/>
        </c:scaling>
        <c:delete val="0"/>
        <c:axPos val="l"/>
        <c:majorGridlines/>
        <c:title>
          <c:tx>
            <c:rich>
              <a:bodyPr rot="-5400000" vert="horz"/>
              <a:lstStyle/>
              <a:p>
                <a:pPr>
                  <a:defRPr lang="ar-EG" sz="800"/>
                </a:pPr>
                <a:r>
                  <a:rPr lang="en-US" sz="1400" b="0" i="0" baseline="0">
                    <a:effectLst/>
                  </a:rPr>
                  <a:t>Tropospheric Wet Delay (m)</a:t>
                </a:r>
                <a:endParaRPr lang="ar-EG" sz="800" b="0">
                  <a:effectLst/>
                </a:endParaRPr>
              </a:p>
            </c:rich>
          </c:tx>
          <c:layout>
            <c:manualLayout>
              <c:xMode val="edge"/>
              <c:yMode val="edge"/>
              <c:x val="8.9549772821148291E-3"/>
              <c:y val="0.11204603734877967"/>
            </c:manualLayout>
          </c:layout>
          <c:overlay val="0"/>
        </c:title>
        <c:numFmt formatCode="#,##0.0" sourceLinked="0"/>
        <c:majorTickMark val="out"/>
        <c:minorTickMark val="none"/>
        <c:tickLblPos val="nextTo"/>
        <c:txPr>
          <a:bodyPr/>
          <a:lstStyle/>
          <a:p>
            <a:pPr>
              <a:defRPr lang="ar-EG" sz="1200"/>
            </a:pPr>
            <a:endParaRPr lang="en-US"/>
          </a:p>
        </c:txPr>
        <c:crossAx val="416569688"/>
        <c:crosses val="autoZero"/>
        <c:crossBetween val="midCat"/>
        <c:majorUnit val="0.2"/>
      </c:valAx>
      <c:spPr>
        <a:ln>
          <a:solidFill>
            <a:schemeClr val="tx1"/>
          </a:solidFill>
        </a:ln>
      </c:spPr>
    </c:plotArea>
    <c:legend>
      <c:legendPos val="t"/>
      <c:layout>
        <c:manualLayout>
          <c:xMode val="edge"/>
          <c:yMode val="edge"/>
          <c:x val="9.861111111111108E-2"/>
          <c:y val="0"/>
          <c:w val="0.9"/>
          <c:h val="0.10780135907688262"/>
        </c:manualLayout>
      </c:layout>
      <c:overlay val="0"/>
      <c:txPr>
        <a:bodyPr/>
        <a:lstStyle/>
        <a:p>
          <a:pPr>
            <a:defRPr lang="ar-EG" sz="1400"/>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16517206182571"/>
          <c:y val="0.13120312547138521"/>
          <c:w val="0.83283482793817676"/>
          <c:h val="0.64313874558783601"/>
        </c:manualLayout>
      </c:layout>
      <c:scatterChart>
        <c:scatterStyle val="smoothMarker"/>
        <c:varyColors val="0"/>
        <c:ser>
          <c:idx val="0"/>
          <c:order val="0"/>
          <c:tx>
            <c:strRef>
              <c:f>'Wet azimuthal asymmetry ‎'!$Z$1</c:f>
              <c:strCache>
                <c:ptCount val="1"/>
                <c:pt idx="0">
                  <c:v>Ø = 22</c:v>
                </c:pt>
              </c:strCache>
            </c:strRef>
          </c:tx>
          <c:xVal>
            <c:numRef>
              <c:f>'Wet azimuthal asymmetry ‎'!$X$2:$X$10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‎'!$Z$2:$Z$10</c:f>
              <c:numCache>
                <c:formatCode>General</c:formatCode>
                <c:ptCount val="9"/>
                <c:pt idx="0">
                  <c:v>1.857972666744572</c:v>
                </c:pt>
                <c:pt idx="1">
                  <c:v>1.8620267939537281</c:v>
                </c:pt>
                <c:pt idx="2">
                  <c:v>1.8720134457779107</c:v>
                </c:pt>
                <c:pt idx="3">
                  <c:v>1.8794523377606562</c:v>
                </c:pt>
                <c:pt idx="4">
                  <c:v>1.8810089183962624</c:v>
                </c:pt>
                <c:pt idx="5">
                  <c:v>1.8783565055324185</c:v>
                </c:pt>
                <c:pt idx="6">
                  <c:v>1.8719721421601159</c:v>
                </c:pt>
                <c:pt idx="7">
                  <c:v>1.8631259976236028</c:v>
                </c:pt>
                <c:pt idx="8">
                  <c:v>1.8579726667418421</c:v>
                </c:pt>
              </c:numCache>
            </c:numRef>
          </c:yVal>
          <c:smooth val="1"/>
        </c:ser>
        <c:ser>
          <c:idx val="1"/>
          <c:order val="1"/>
          <c:tx>
            <c:strRef>
              <c:f>'Wet azimuthal asymmetry ‎'!$AA$1</c:f>
              <c:strCache>
                <c:ptCount val="1"/>
                <c:pt idx="0">
                  <c:v>Ø =24</c:v>
                </c:pt>
              </c:strCache>
            </c:strRef>
          </c:tx>
          <c:xVal>
            <c:numRef>
              <c:f>'Wet azimuthal asymmetry ‎'!$X$2:$X$10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‎'!$AA$2:$AA$10</c:f>
              <c:numCache>
                <c:formatCode>General</c:formatCode>
                <c:ptCount val="9"/>
                <c:pt idx="0">
                  <c:v>1.939652719015974</c:v>
                </c:pt>
                <c:pt idx="1">
                  <c:v>1.943925731250312</c:v>
                </c:pt>
                <c:pt idx="2">
                  <c:v>1.9546800793553913</c:v>
                </c:pt>
                <c:pt idx="3">
                  <c:v>1.9627970154796188</c:v>
                </c:pt>
                <c:pt idx="4">
                  <c:v>1.9644865131876901</c:v>
                </c:pt>
                <c:pt idx="5">
                  <c:v>1.9615217148062027</c:v>
                </c:pt>
                <c:pt idx="6">
                  <c:v>1.9546226369375601</c:v>
                </c:pt>
                <c:pt idx="7">
                  <c:v>1.945192193358072</c:v>
                </c:pt>
                <c:pt idx="8">
                  <c:v>1.9396527190182209</c:v>
                </c:pt>
              </c:numCache>
            </c:numRef>
          </c:yVal>
          <c:smooth val="1"/>
        </c:ser>
        <c:ser>
          <c:idx val="2"/>
          <c:order val="2"/>
          <c:tx>
            <c:strRef>
              <c:f>'Wet azimuthal asymmetry ‎'!$AB$1</c:f>
              <c:strCache>
                <c:ptCount val="1"/>
                <c:pt idx="0">
                  <c:v>Ø =26</c:v>
                </c:pt>
              </c:strCache>
            </c:strRef>
          </c:tx>
          <c:xVal>
            <c:numRef>
              <c:f>'Wet azimuthal asymmetry ‎'!$X$2:$X$10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‎'!$AB$2:$AB$10</c:f>
              <c:numCache>
                <c:formatCode>General</c:formatCode>
                <c:ptCount val="9"/>
                <c:pt idx="0">
                  <c:v>2.0270334946594146</c:v>
                </c:pt>
                <c:pt idx="1">
                  <c:v>2.0315183885286268</c:v>
                </c:pt>
                <c:pt idx="2">
                  <c:v>2.0430337575664042</c:v>
                </c:pt>
                <c:pt idx="3">
                  <c:v>2.0517941724840072</c:v>
                </c:pt>
                <c:pt idx="4">
                  <c:v>2.0535829813638364</c:v>
                </c:pt>
                <c:pt idx="5">
                  <c:v>2.0503212387181202</c:v>
                </c:pt>
                <c:pt idx="6">
                  <c:v>2.0429573698128181</c:v>
                </c:pt>
                <c:pt idx="7">
                  <c:v>2.0329687274503883</c:v>
                </c:pt>
                <c:pt idx="8">
                  <c:v>2.0270334946567208</c:v>
                </c:pt>
              </c:numCache>
            </c:numRef>
          </c:yVal>
          <c:smooth val="1"/>
        </c:ser>
        <c:ser>
          <c:idx val="3"/>
          <c:order val="3"/>
          <c:tx>
            <c:strRef>
              <c:f>'Wet azimuthal asymmetry ‎'!$AC$1</c:f>
              <c:strCache>
                <c:ptCount val="1"/>
                <c:pt idx="0">
                  <c:v>Ø =28</c:v>
                </c:pt>
              </c:strCache>
            </c:strRef>
          </c:tx>
          <c:xVal>
            <c:numRef>
              <c:f>'Wet azimuthal asymmetry ‎'!$X$2:$X$10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‎'!$AC$2:$AC$10</c:f>
              <c:numCache>
                <c:formatCode>General</c:formatCode>
                <c:ptCount val="9"/>
                <c:pt idx="0">
                  <c:v>2.1197452226727398</c:v>
                </c:pt>
                <c:pt idx="1">
                  <c:v>2.1244353091462997</c:v>
                </c:pt>
                <c:pt idx="2">
                  <c:v>2.1367042951546553</c:v>
                </c:pt>
                <c:pt idx="3">
                  <c:v>2.1460689542262967</c:v>
                </c:pt>
                <c:pt idx="4">
                  <c:v>2.1479201336884239</c:v>
                </c:pt>
                <c:pt idx="5">
                  <c:v>2.1443795319026853</c:v>
                </c:pt>
                <c:pt idx="6">
                  <c:v>2.1366058788936466</c:v>
                </c:pt>
                <c:pt idx="7">
                  <c:v>2.1260868283638628</c:v>
                </c:pt>
                <c:pt idx="8">
                  <c:v>2.1197452226735387</c:v>
                </c:pt>
              </c:numCache>
            </c:numRef>
          </c:yVal>
          <c:smooth val="1"/>
        </c:ser>
        <c:ser>
          <c:idx val="4"/>
          <c:order val="4"/>
          <c:tx>
            <c:strRef>
              <c:f>'Wet azimuthal asymmetry ‎'!$AD$1</c:f>
              <c:strCache>
                <c:ptCount val="1"/>
                <c:pt idx="0">
                  <c:v>Ø =30</c:v>
                </c:pt>
              </c:strCache>
            </c:strRef>
          </c:tx>
          <c:xVal>
            <c:numRef>
              <c:f>'Wet azimuthal asymmetry ‎'!$X$2:$X$10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‎'!$AD$2:$AD$10</c:f>
              <c:numCache>
                <c:formatCode>General</c:formatCode>
                <c:ptCount val="9"/>
                <c:pt idx="0">
                  <c:v>2.2173913056099264</c:v>
                </c:pt>
                <c:pt idx="1">
                  <c:v>2.2222802039879612</c:v>
                </c:pt>
                <c:pt idx="2">
                  <c:v>2.2352944385375384</c:v>
                </c:pt>
                <c:pt idx="3">
                  <c:v>2.2452193039359432</c:v>
                </c:pt>
                <c:pt idx="4">
                  <c:v>2.2470927157009002</c:v>
                </c:pt>
                <c:pt idx="5">
                  <c:v>2.2432940522838241</c:v>
                </c:pt>
                <c:pt idx="6">
                  <c:v>2.2351706362940478</c:v>
                </c:pt>
                <c:pt idx="7">
                  <c:v>2.2241507260857611</c:v>
                </c:pt>
                <c:pt idx="8">
                  <c:v>2.2173913056099499</c:v>
                </c:pt>
              </c:numCache>
            </c:numRef>
          </c:yVal>
          <c:smooth val="1"/>
        </c:ser>
        <c:ser>
          <c:idx val="5"/>
          <c:order val="5"/>
          <c:tx>
            <c:strRef>
              <c:f>'Wet azimuthal asymmetry ‎'!$AE$1</c:f>
              <c:strCache>
                <c:ptCount val="1"/>
                <c:pt idx="0">
                  <c:v>Ø =32</c:v>
                </c:pt>
              </c:strCache>
            </c:strRef>
          </c:tx>
          <c:xVal>
            <c:numRef>
              <c:f>'Wet azimuthal asymmetry ‎'!$X$2:$X$10</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‎'!$AE$2:$AE$10</c:f>
              <c:numCache>
                <c:formatCode>General</c:formatCode>
                <c:ptCount val="9"/>
                <c:pt idx="0">
                  <c:v>2.3195492297758462</c:v>
                </c:pt>
                <c:pt idx="1">
                  <c:v>2.3246308298983887</c:v>
                </c:pt>
                <c:pt idx="2">
                  <c:v>2.338380706580871</c:v>
                </c:pt>
                <c:pt idx="3">
                  <c:v>2.3488168516242429</c:v>
                </c:pt>
                <c:pt idx="4">
                  <c:v>2.3506693539066728</c:v>
                </c:pt>
                <c:pt idx="5">
                  <c:v>2.3466361670564382</c:v>
                </c:pt>
                <c:pt idx="6">
                  <c:v>2.3382278912276</c:v>
                </c:pt>
                <c:pt idx="7">
                  <c:v>2.3267385191963181</c:v>
                </c:pt>
                <c:pt idx="8">
                  <c:v>2.3195492297760167</c:v>
                </c:pt>
              </c:numCache>
            </c:numRef>
          </c:yVal>
          <c:smooth val="1"/>
        </c:ser>
        <c:dLbls>
          <c:showLegendKey val="0"/>
          <c:showVal val="0"/>
          <c:showCatName val="0"/>
          <c:showSerName val="0"/>
          <c:showPercent val="0"/>
          <c:showBubbleSize val="0"/>
        </c:dLbls>
        <c:axId val="418857064"/>
        <c:axId val="418856280"/>
      </c:scatterChart>
      <c:valAx>
        <c:axId val="418857064"/>
        <c:scaling>
          <c:orientation val="minMax"/>
          <c:max val="360"/>
        </c:scaling>
        <c:delete val="0"/>
        <c:axPos val="b"/>
        <c:title>
          <c:tx>
            <c:rich>
              <a:bodyPr/>
              <a:lstStyle/>
              <a:p>
                <a:pPr>
                  <a:defRPr lang="ar-EG" sz="800" b="0"/>
                </a:pPr>
                <a:r>
                  <a:rPr lang="en-US" sz="1400" b="0" i="0" baseline="0">
                    <a:effectLst/>
                  </a:rPr>
                  <a:t>Azimuth Angle (°)</a:t>
                </a:r>
                <a:endParaRPr lang="en-US" sz="1100">
                  <a:effectLst/>
                </a:endParaRPr>
              </a:p>
            </c:rich>
          </c:tx>
          <c:overlay val="0"/>
        </c:title>
        <c:numFmt formatCode="General" sourceLinked="1"/>
        <c:majorTickMark val="out"/>
        <c:minorTickMark val="none"/>
        <c:tickLblPos val="nextTo"/>
        <c:txPr>
          <a:bodyPr/>
          <a:lstStyle/>
          <a:p>
            <a:pPr>
              <a:defRPr lang="ar-EG" sz="1200"/>
            </a:pPr>
            <a:endParaRPr lang="en-US"/>
          </a:p>
        </c:txPr>
        <c:crossAx val="418856280"/>
        <c:crosses val="autoZero"/>
        <c:crossBetween val="midCat"/>
        <c:majorUnit val="45"/>
      </c:valAx>
      <c:valAx>
        <c:axId val="418856280"/>
        <c:scaling>
          <c:orientation val="minMax"/>
          <c:min val="1.8"/>
        </c:scaling>
        <c:delete val="0"/>
        <c:axPos val="l"/>
        <c:majorGridlines/>
        <c:title>
          <c:tx>
            <c:rich>
              <a:bodyPr rot="-5400000" vert="horz"/>
              <a:lstStyle/>
              <a:p>
                <a:pPr>
                  <a:defRPr lang="ar-EG" sz="800"/>
                </a:pPr>
                <a:r>
                  <a:rPr lang="en-US" sz="1400" b="0" i="0" baseline="0">
                    <a:effectLst/>
                  </a:rPr>
                  <a:t>Tropospheric Wet Delay (m)</a:t>
                </a:r>
                <a:endParaRPr lang="ar-EG" sz="800" b="0">
                  <a:effectLst/>
                </a:endParaRPr>
              </a:p>
            </c:rich>
          </c:tx>
          <c:layout>
            <c:manualLayout>
              <c:xMode val="edge"/>
              <c:yMode val="edge"/>
              <c:x val="8.9549772821148291E-3"/>
              <c:y val="0.11204603734877967"/>
            </c:manualLayout>
          </c:layout>
          <c:overlay val="0"/>
        </c:title>
        <c:numFmt formatCode="#,##0.0" sourceLinked="0"/>
        <c:majorTickMark val="out"/>
        <c:minorTickMark val="none"/>
        <c:tickLblPos val="nextTo"/>
        <c:txPr>
          <a:bodyPr/>
          <a:lstStyle/>
          <a:p>
            <a:pPr>
              <a:defRPr lang="ar-EG" sz="1200"/>
            </a:pPr>
            <a:endParaRPr lang="en-US"/>
          </a:p>
        </c:txPr>
        <c:crossAx val="418857064"/>
        <c:crosses val="autoZero"/>
        <c:crossBetween val="midCat"/>
        <c:majorUnit val="0.2"/>
      </c:valAx>
      <c:spPr>
        <a:ln>
          <a:solidFill>
            <a:schemeClr val="tx1"/>
          </a:solidFill>
        </a:ln>
      </c:spPr>
    </c:plotArea>
    <c:legend>
      <c:legendPos val="t"/>
      <c:layout>
        <c:manualLayout>
          <c:xMode val="edge"/>
          <c:yMode val="edge"/>
          <c:x val="8.7037037037037038E-2"/>
          <c:y val="2.3747328425552199E-2"/>
          <c:w val="0.9"/>
          <c:h val="0.10884462872468224"/>
        </c:manualLayout>
      </c:layout>
      <c:overlay val="0"/>
      <c:txPr>
        <a:bodyPr/>
        <a:lstStyle/>
        <a:p>
          <a:pPr>
            <a:defRPr lang="ar-EG" sz="1400"/>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16517206182571"/>
          <c:y val="0.13120312547138521"/>
          <c:w val="0.83283482793817676"/>
          <c:h val="0.64313874558783601"/>
        </c:manualLayout>
      </c:layout>
      <c:scatterChart>
        <c:scatterStyle val="smoothMarker"/>
        <c:varyColors val="0"/>
        <c:ser>
          <c:idx val="0"/>
          <c:order val="0"/>
          <c:tx>
            <c:strRef>
              <c:f>'Wet azimuthal asymmetry ‎'!$Z$39</c:f>
              <c:strCache>
                <c:ptCount val="1"/>
                <c:pt idx="0">
                  <c:v>Ø = 22</c:v>
                </c:pt>
              </c:strCache>
            </c:strRef>
          </c:tx>
          <c:xVal>
            <c:numRef>
              <c:f>'Wet azimuthal asymmetry ‎'!$X$40:$X$48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‎'!$Z$40:$Z$48</c:f>
              <c:numCache>
                <c:formatCode>General</c:formatCode>
                <c:ptCount val="9"/>
                <c:pt idx="0">
                  <c:v>2.8544432499639734</c:v>
                </c:pt>
                <c:pt idx="1">
                  <c:v>2.8549627909746067</c:v>
                </c:pt>
                <c:pt idx="2">
                  <c:v>2.8572895805841703</c:v>
                </c:pt>
                <c:pt idx="3">
                  <c:v>2.8567039641934979</c:v>
                </c:pt>
                <c:pt idx="4">
                  <c:v>2.8544087852632769</c:v>
                </c:pt>
                <c:pt idx="5">
                  <c:v>2.8549637278091069</c:v>
                </c:pt>
                <c:pt idx="6">
                  <c:v>2.8572582621959648</c:v>
                </c:pt>
                <c:pt idx="7">
                  <c:v>2.8567660189399837</c:v>
                </c:pt>
                <c:pt idx="8">
                  <c:v>2.8544432499664985</c:v>
                </c:pt>
              </c:numCache>
            </c:numRef>
          </c:yVal>
          <c:smooth val="1"/>
        </c:ser>
        <c:ser>
          <c:idx val="1"/>
          <c:order val="1"/>
          <c:tx>
            <c:strRef>
              <c:f>'Wet azimuthal asymmetry ‎'!$AA$39</c:f>
              <c:strCache>
                <c:ptCount val="1"/>
                <c:pt idx="0">
                  <c:v>Ø =24</c:v>
                </c:pt>
              </c:strCache>
            </c:strRef>
          </c:tx>
          <c:xVal>
            <c:numRef>
              <c:f>'Wet azimuthal asymmetry ‎'!$X$40:$X$48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‎'!$AA$40:$AA$48</c:f>
              <c:numCache>
                <c:formatCode>General</c:formatCode>
                <c:ptCount val="9"/>
                <c:pt idx="0">
                  <c:v>2.8261605961803391</c:v>
                </c:pt>
                <c:pt idx="1">
                  <c:v>2.8266872361565878</c:v>
                </c:pt>
                <c:pt idx="2">
                  <c:v>2.8291785090746027</c:v>
                </c:pt>
                <c:pt idx="3">
                  <c:v>2.8286255813723185</c:v>
                </c:pt>
                <c:pt idx="4">
                  <c:v>2.8262116497952707</c:v>
                </c:pt>
                <c:pt idx="5">
                  <c:v>2.8267410737474585</c:v>
                </c:pt>
                <c:pt idx="6">
                  <c:v>2.829129473013142</c:v>
                </c:pt>
                <c:pt idx="7">
                  <c:v>2.8286228010146077</c:v>
                </c:pt>
                <c:pt idx="8">
                  <c:v>2.8261605961794305</c:v>
                </c:pt>
              </c:numCache>
            </c:numRef>
          </c:yVal>
          <c:smooth val="1"/>
        </c:ser>
        <c:ser>
          <c:idx val="2"/>
          <c:order val="2"/>
          <c:tx>
            <c:strRef>
              <c:f>'Wet azimuthal asymmetry ‎'!$AB$39</c:f>
              <c:strCache>
                <c:ptCount val="1"/>
                <c:pt idx="0">
                  <c:v>Ø =26</c:v>
                </c:pt>
              </c:strCache>
            </c:strRef>
          </c:tx>
          <c:xVal>
            <c:numRef>
              <c:f>'Wet azimuthal asymmetry ‎'!$X$40:$X$48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‎'!$AB$40:$AB$48</c:f>
              <c:numCache>
                <c:formatCode>General</c:formatCode>
                <c:ptCount val="9"/>
                <c:pt idx="0">
                  <c:v>2.795605906818698</c:v>
                </c:pt>
                <c:pt idx="1">
                  <c:v>2.7961469901106777</c:v>
                </c:pt>
                <c:pt idx="2">
                  <c:v>2.7988082643986387</c:v>
                </c:pt>
                <c:pt idx="3">
                  <c:v>2.7982900991741544</c:v>
                </c:pt>
                <c:pt idx="4">
                  <c:v>2.7957624631204467</c:v>
                </c:pt>
                <c:pt idx="5">
                  <c:v>2.7962684072065267</c:v>
                </c:pt>
                <c:pt idx="6">
                  <c:v>2.798742006875742</c:v>
                </c:pt>
                <c:pt idx="7">
                  <c:v>2.7982094237211363</c:v>
                </c:pt>
                <c:pt idx="8">
                  <c:v>2.7956059068180377</c:v>
                </c:pt>
              </c:numCache>
            </c:numRef>
          </c:yVal>
          <c:smooth val="1"/>
        </c:ser>
        <c:ser>
          <c:idx val="3"/>
          <c:order val="3"/>
          <c:tx>
            <c:strRef>
              <c:f>'Wet azimuthal asymmetry ‎'!$AC$39</c:f>
              <c:strCache>
                <c:ptCount val="1"/>
                <c:pt idx="0">
                  <c:v>Ø =28</c:v>
                </c:pt>
              </c:strCache>
            </c:strRef>
          </c:tx>
          <c:xVal>
            <c:numRef>
              <c:f>'Wet azimuthal asymmetry ‎'!$X$40:$X$48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‎'!$AC$40:$AC$48</c:f>
              <c:numCache>
                <c:formatCode>General</c:formatCode>
                <c:ptCount val="9"/>
                <c:pt idx="0">
                  <c:v>2.7628423453884077</c:v>
                </c:pt>
                <c:pt idx="1">
                  <c:v>2.7634046044549212</c:v>
                </c:pt>
                <c:pt idx="2">
                  <c:v>2.7662402384643352</c:v>
                </c:pt>
                <c:pt idx="3">
                  <c:v>2.7657595951070255</c:v>
                </c:pt>
                <c:pt idx="4">
                  <c:v>2.7631246262765208</c:v>
                </c:pt>
                <c:pt idx="5">
                  <c:v>2.7636086392802537</c:v>
                </c:pt>
                <c:pt idx="6">
                  <c:v>2.7661575887763057</c:v>
                </c:pt>
                <c:pt idx="7">
                  <c:v>2.7655880260649552</c:v>
                </c:pt>
                <c:pt idx="8">
                  <c:v>2.7628423453898137</c:v>
                </c:pt>
              </c:numCache>
            </c:numRef>
          </c:yVal>
          <c:smooth val="1"/>
        </c:ser>
        <c:ser>
          <c:idx val="4"/>
          <c:order val="4"/>
          <c:tx>
            <c:strRef>
              <c:f>'Wet azimuthal asymmetry ‎'!$AD$39</c:f>
              <c:strCache>
                <c:ptCount val="1"/>
                <c:pt idx="0">
                  <c:v>Ø =30</c:v>
                </c:pt>
              </c:strCache>
            </c:strRef>
          </c:tx>
          <c:xVal>
            <c:numRef>
              <c:f>'Wet azimuthal asymmetry ‎'!$X$40:$X$48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‎'!$AD$40:$AD$48</c:f>
              <c:numCache>
                <c:formatCode>General</c:formatCode>
                <c:ptCount val="9"/>
                <c:pt idx="0">
                  <c:v>2.7279438764952202</c:v>
                </c:pt>
                <c:pt idx="1">
                  <c:v>2.728533347576668</c:v>
                </c:pt>
                <c:pt idx="2">
                  <c:v>2.7315463663103032</c:v>
                </c:pt>
                <c:pt idx="3">
                  <c:v>2.7311065866293358</c:v>
                </c:pt>
                <c:pt idx="4">
                  <c:v>2.728371952073128</c:v>
                </c:pt>
                <c:pt idx="5">
                  <c:v>2.7288350988902712</c:v>
                </c:pt>
                <c:pt idx="6">
                  <c:v>2.7314484540219652</c:v>
                </c:pt>
                <c:pt idx="7">
                  <c:v>2.7308314390527997</c:v>
                </c:pt>
                <c:pt idx="8">
                  <c:v>2.7279438764989803</c:v>
                </c:pt>
              </c:numCache>
            </c:numRef>
          </c:yVal>
          <c:smooth val="1"/>
        </c:ser>
        <c:ser>
          <c:idx val="5"/>
          <c:order val="5"/>
          <c:tx>
            <c:strRef>
              <c:f>'Wet azimuthal asymmetry ‎'!$AE$39</c:f>
              <c:strCache>
                <c:ptCount val="1"/>
                <c:pt idx="0">
                  <c:v>Ø =32</c:v>
                </c:pt>
              </c:strCache>
            </c:strRef>
          </c:tx>
          <c:xVal>
            <c:numRef>
              <c:f>'Wet azimuthal asymmetry ‎'!$X$40:$X$48</c:f>
              <c:numCache>
                <c:formatCode>General</c:formatCode>
                <c:ptCount val="9"/>
                <c:pt idx="0">
                  <c:v>0</c:v>
                </c:pt>
                <c:pt idx="1">
                  <c:v>45</c:v>
                </c:pt>
                <c:pt idx="2">
                  <c:v>90</c:v>
                </c:pt>
                <c:pt idx="3">
                  <c:v>135</c:v>
                </c:pt>
                <c:pt idx="4">
                  <c:v>180</c:v>
                </c:pt>
                <c:pt idx="5">
                  <c:v>225</c:v>
                </c:pt>
                <c:pt idx="6">
                  <c:v>270</c:v>
                </c:pt>
                <c:pt idx="7">
                  <c:v>315</c:v>
                </c:pt>
                <c:pt idx="8">
                  <c:v>360</c:v>
                </c:pt>
              </c:numCache>
            </c:numRef>
          </c:xVal>
          <c:yVal>
            <c:numRef>
              <c:f>'Wet azimuthal asymmetry ‎'!$AE$40:$AE$48</c:f>
              <c:numCache>
                <c:formatCode>General</c:formatCode>
                <c:ptCount val="9"/>
                <c:pt idx="0">
                  <c:v>2.690996335601584</c:v>
                </c:pt>
                <c:pt idx="1">
                  <c:v>2.6916182784865681</c:v>
                </c:pt>
                <c:pt idx="2">
                  <c:v>2.6948102034816781</c:v>
                </c:pt>
                <c:pt idx="3">
                  <c:v>2.6944150876626942</c:v>
                </c:pt>
                <c:pt idx="4">
                  <c:v>2.6915896990673809</c:v>
                </c:pt>
                <c:pt idx="5">
                  <c:v>2.6920325755343115</c:v>
                </c:pt>
                <c:pt idx="6">
                  <c:v>2.6946984167989121</c:v>
                </c:pt>
                <c:pt idx="7">
                  <c:v>2.6940242623442012</c:v>
                </c:pt>
                <c:pt idx="8">
                  <c:v>2.6909963355997228</c:v>
                </c:pt>
              </c:numCache>
            </c:numRef>
          </c:yVal>
          <c:smooth val="1"/>
        </c:ser>
        <c:dLbls>
          <c:showLegendKey val="0"/>
          <c:showVal val="0"/>
          <c:showCatName val="0"/>
          <c:showSerName val="0"/>
          <c:showPercent val="0"/>
          <c:showBubbleSize val="0"/>
        </c:dLbls>
        <c:axId val="385464464"/>
        <c:axId val="385459760"/>
      </c:scatterChart>
      <c:valAx>
        <c:axId val="385464464"/>
        <c:scaling>
          <c:orientation val="minMax"/>
          <c:max val="360"/>
        </c:scaling>
        <c:delete val="0"/>
        <c:axPos val="b"/>
        <c:title>
          <c:tx>
            <c:rich>
              <a:bodyPr/>
              <a:lstStyle/>
              <a:p>
                <a:pPr>
                  <a:defRPr lang="ar-EG" sz="800" b="0"/>
                </a:pPr>
                <a:r>
                  <a:rPr lang="en-US" sz="1400" b="0" i="0" baseline="0">
                    <a:effectLst/>
                  </a:rPr>
                  <a:t>Azimuth Angle (°)</a:t>
                </a:r>
                <a:endParaRPr lang="en-US" sz="1100">
                  <a:effectLst/>
                </a:endParaRPr>
              </a:p>
            </c:rich>
          </c:tx>
          <c:overlay val="0"/>
        </c:title>
        <c:numFmt formatCode="General" sourceLinked="1"/>
        <c:majorTickMark val="out"/>
        <c:minorTickMark val="none"/>
        <c:tickLblPos val="nextTo"/>
        <c:txPr>
          <a:bodyPr/>
          <a:lstStyle/>
          <a:p>
            <a:pPr>
              <a:defRPr lang="ar-EG" sz="1200"/>
            </a:pPr>
            <a:endParaRPr lang="en-US"/>
          </a:p>
        </c:txPr>
        <c:crossAx val="385459760"/>
        <c:crossesAt val="0"/>
        <c:crossBetween val="midCat"/>
        <c:majorUnit val="45"/>
      </c:valAx>
      <c:valAx>
        <c:axId val="385459760"/>
        <c:scaling>
          <c:orientation val="minMax"/>
        </c:scaling>
        <c:delete val="0"/>
        <c:axPos val="l"/>
        <c:majorGridlines/>
        <c:title>
          <c:tx>
            <c:rich>
              <a:bodyPr rot="-5400000" vert="horz"/>
              <a:lstStyle/>
              <a:p>
                <a:pPr>
                  <a:defRPr lang="ar-EG" sz="800"/>
                </a:pPr>
                <a:r>
                  <a:rPr lang="en-US" sz="1400" b="0" i="0" baseline="0">
                    <a:effectLst/>
                  </a:rPr>
                  <a:t>Tropospheric Wet Delay (m)</a:t>
                </a:r>
                <a:endParaRPr lang="ar-EG" sz="800" b="0">
                  <a:effectLst/>
                </a:endParaRPr>
              </a:p>
            </c:rich>
          </c:tx>
          <c:layout>
            <c:manualLayout>
              <c:xMode val="edge"/>
              <c:yMode val="edge"/>
              <c:x val="8.9549772821148291E-3"/>
              <c:y val="0.11204603734877967"/>
            </c:manualLayout>
          </c:layout>
          <c:overlay val="0"/>
        </c:title>
        <c:numFmt formatCode="#,##0.0" sourceLinked="0"/>
        <c:majorTickMark val="out"/>
        <c:minorTickMark val="none"/>
        <c:tickLblPos val="nextTo"/>
        <c:txPr>
          <a:bodyPr/>
          <a:lstStyle/>
          <a:p>
            <a:pPr>
              <a:defRPr lang="ar-EG" sz="1200"/>
            </a:pPr>
            <a:endParaRPr lang="en-US"/>
          </a:p>
        </c:txPr>
        <c:crossAx val="385464464"/>
        <c:crosses val="autoZero"/>
        <c:crossBetween val="midCat"/>
        <c:majorUnit val="0.2"/>
      </c:valAx>
      <c:spPr>
        <a:ln>
          <a:solidFill>
            <a:schemeClr val="tx1"/>
          </a:solidFill>
        </a:ln>
      </c:spPr>
    </c:plotArea>
    <c:legend>
      <c:legendPos val="t"/>
      <c:layout>
        <c:manualLayout>
          <c:xMode val="edge"/>
          <c:yMode val="edge"/>
          <c:x val="8.4722222222222573E-2"/>
          <c:y val="2.0607934054611046E-2"/>
          <c:w val="0.9"/>
          <c:h val="0.11797840022211818"/>
        </c:manualLayout>
      </c:layout>
      <c:overlay val="0"/>
      <c:txPr>
        <a:bodyPr/>
        <a:lstStyle/>
        <a:p>
          <a:pPr>
            <a:defRPr lang="ar-EG" sz="140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64E0E-43BB-4959-9255-0931B149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1538</Words>
  <Characters>8773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  mohmed</dc:creator>
  <cp:keywords/>
  <dc:description/>
  <cp:lastModifiedBy>M amin</cp:lastModifiedBy>
  <cp:revision>3</cp:revision>
  <dcterms:created xsi:type="dcterms:W3CDTF">2017-09-17T05:45:00Z</dcterms:created>
  <dcterms:modified xsi:type="dcterms:W3CDTF">2017-09-17T05:46:00Z</dcterms:modified>
</cp:coreProperties>
</file>