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A5A" w:rsidRPr="00146A5A" w:rsidRDefault="00146A5A" w:rsidP="00146A5A">
      <w:pPr>
        <w:jc w:val="both"/>
        <w:rPr>
          <w:b/>
          <w:sz w:val="22"/>
          <w:szCs w:val="22"/>
        </w:rPr>
      </w:pPr>
      <w:r w:rsidRPr="00146A5A">
        <w:rPr>
          <w:b/>
          <w:sz w:val="22"/>
          <w:szCs w:val="22"/>
        </w:rPr>
        <w:t xml:space="preserve">Temperature effect on the degradation of phenol and catechol by Antarctic strain </w:t>
      </w:r>
      <w:r w:rsidRPr="00146A5A">
        <w:rPr>
          <w:b/>
          <w:i/>
          <w:sz w:val="22"/>
          <w:szCs w:val="22"/>
        </w:rPr>
        <w:t>Lecanicillium</w:t>
      </w:r>
      <w:r w:rsidRPr="00146A5A">
        <w:rPr>
          <w:b/>
          <w:sz w:val="22"/>
          <w:szCs w:val="22"/>
        </w:rPr>
        <w:t xml:space="preserve"> sp. AL12</w:t>
      </w:r>
    </w:p>
    <w:p w:rsidR="00E138DE" w:rsidRPr="00E138DE" w:rsidRDefault="00E138DE" w:rsidP="00666A6E">
      <w:pPr>
        <w:jc w:val="both"/>
        <w:rPr>
          <w:rFonts w:eastAsia="MS PGothic"/>
          <w:color w:val="000000"/>
          <w:sz w:val="22"/>
          <w:szCs w:val="22"/>
        </w:rPr>
      </w:pPr>
    </w:p>
    <w:p w:rsidR="00666A6E" w:rsidRDefault="00146A5A" w:rsidP="00666A6E">
      <w:pPr>
        <w:jc w:val="both"/>
        <w:rPr>
          <w:b/>
          <w:sz w:val="19"/>
          <w:szCs w:val="19"/>
        </w:rPr>
      </w:pPr>
      <w:r w:rsidRPr="00C872FC">
        <w:rPr>
          <w:b/>
          <w:sz w:val="19"/>
          <w:szCs w:val="19"/>
        </w:rPr>
        <w:t>ALEXIEVA Z.</w:t>
      </w:r>
      <w:r>
        <w:rPr>
          <w:b/>
          <w:sz w:val="19"/>
          <w:szCs w:val="19"/>
        </w:rPr>
        <w:t xml:space="preserve">, </w:t>
      </w:r>
      <w:r w:rsidR="00666A6E" w:rsidRPr="00C872FC">
        <w:rPr>
          <w:b/>
          <w:sz w:val="19"/>
          <w:szCs w:val="19"/>
        </w:rPr>
        <w:t>GERGINO</w:t>
      </w:r>
      <w:r>
        <w:rPr>
          <w:b/>
          <w:sz w:val="19"/>
          <w:szCs w:val="19"/>
        </w:rPr>
        <w:t>VA M., STOYANOVA K., PENEVA N.</w:t>
      </w:r>
    </w:p>
    <w:p w:rsidR="00666A6E" w:rsidRPr="00C872FC" w:rsidRDefault="00666A6E" w:rsidP="00666A6E">
      <w:pPr>
        <w:jc w:val="both"/>
        <w:rPr>
          <w:b/>
          <w:sz w:val="19"/>
          <w:szCs w:val="19"/>
        </w:rPr>
      </w:pPr>
    </w:p>
    <w:p w:rsidR="00666A6E" w:rsidRPr="009450EF" w:rsidRDefault="00666A6E" w:rsidP="00666A6E">
      <w:pPr>
        <w:jc w:val="both"/>
        <w:rPr>
          <w:sz w:val="19"/>
          <w:szCs w:val="19"/>
        </w:rPr>
      </w:pPr>
      <w:r w:rsidRPr="009450EF">
        <w:rPr>
          <w:sz w:val="19"/>
          <w:szCs w:val="19"/>
        </w:rPr>
        <w:t>Department of General Microbiology, Institute of Microbiology, Bulgarian Academy of Sciences, Sofia, Bulgaria</w:t>
      </w:r>
    </w:p>
    <w:p w:rsidR="00666A6E" w:rsidRPr="00351E9B" w:rsidRDefault="00666A6E" w:rsidP="00666A6E">
      <w:pPr>
        <w:rPr>
          <w:rFonts w:eastAsia="MS Mincho"/>
          <w:sz w:val="19"/>
          <w:szCs w:val="19"/>
        </w:rPr>
      </w:pPr>
    </w:p>
    <w:p w:rsidR="00666A6E" w:rsidRDefault="00666A6E" w:rsidP="00666A6E">
      <w:pPr>
        <w:jc w:val="both"/>
        <w:rPr>
          <w:rFonts w:eastAsia="MS Mincho"/>
          <w:sz w:val="19"/>
          <w:szCs w:val="19"/>
        </w:rPr>
      </w:pPr>
    </w:p>
    <w:p w:rsidR="00666A6E" w:rsidRPr="0005164C" w:rsidRDefault="00666A6E" w:rsidP="00666A6E">
      <w:pPr>
        <w:jc w:val="both"/>
        <w:rPr>
          <w:rFonts w:eastAsia="MS Mincho"/>
          <w:sz w:val="19"/>
          <w:szCs w:val="19"/>
        </w:rPr>
        <w:sectPr w:rsidR="00666A6E" w:rsidRPr="0005164C" w:rsidSect="00666A6E">
          <w:pgSz w:w="11909" w:h="16834" w:code="9"/>
          <w:pgMar w:top="1080" w:right="734" w:bottom="2434" w:left="734" w:header="720" w:footer="720" w:gutter="0"/>
          <w:cols w:space="720"/>
          <w:docGrid w:linePitch="360"/>
        </w:sectPr>
      </w:pPr>
    </w:p>
    <w:p w:rsidR="00666A6E" w:rsidRPr="0079480B" w:rsidRDefault="00666A6E" w:rsidP="00666A6E">
      <w:pPr>
        <w:pStyle w:val="keywords"/>
        <w:ind w:firstLine="0"/>
        <w:rPr>
          <w:bCs w:val="0"/>
          <w:i w:val="0"/>
          <w:iCs w:val="0"/>
          <w:noProof w:val="0"/>
          <w:sz w:val="19"/>
          <w:szCs w:val="19"/>
          <w:lang w:val="en-IN" w:eastAsia="en-IN"/>
        </w:rPr>
      </w:pPr>
      <w:r w:rsidRPr="0079480B">
        <w:rPr>
          <w:bCs w:val="0"/>
          <w:i w:val="0"/>
          <w:iCs w:val="0"/>
          <w:noProof w:val="0"/>
          <w:sz w:val="19"/>
          <w:szCs w:val="19"/>
          <w:lang w:val="en-IN" w:eastAsia="en-IN"/>
        </w:rPr>
        <w:lastRenderedPageBreak/>
        <w:t xml:space="preserve">Keywords: </w:t>
      </w:r>
      <w:r w:rsidR="00146A5A" w:rsidRPr="0079480B">
        <w:rPr>
          <w:i w:val="0"/>
          <w:sz w:val="19"/>
          <w:szCs w:val="19"/>
        </w:rPr>
        <w:t>fungi</w:t>
      </w:r>
      <w:r w:rsidRPr="0079480B">
        <w:rPr>
          <w:i w:val="0"/>
          <w:sz w:val="19"/>
          <w:szCs w:val="19"/>
        </w:rPr>
        <w:t>,</w:t>
      </w:r>
      <w:r w:rsidRPr="0079480B">
        <w:rPr>
          <w:sz w:val="19"/>
          <w:szCs w:val="19"/>
        </w:rPr>
        <w:t xml:space="preserve"> </w:t>
      </w:r>
      <w:r w:rsidRPr="0079480B">
        <w:rPr>
          <w:i w:val="0"/>
          <w:sz w:val="19"/>
          <w:szCs w:val="19"/>
        </w:rPr>
        <w:t>biodegrdation,</w:t>
      </w:r>
      <w:r w:rsidR="00146A5A" w:rsidRPr="0079480B">
        <w:rPr>
          <w:i w:val="0"/>
          <w:sz w:val="19"/>
          <w:szCs w:val="19"/>
        </w:rPr>
        <w:t xml:space="preserve"> phenol, catechol,</w:t>
      </w:r>
      <w:r w:rsidRPr="0079480B">
        <w:rPr>
          <w:i w:val="0"/>
          <w:sz w:val="19"/>
          <w:szCs w:val="19"/>
        </w:rPr>
        <w:t xml:space="preserve"> </w:t>
      </w:r>
      <w:r w:rsidR="00146A5A" w:rsidRPr="0079480B">
        <w:rPr>
          <w:i w:val="0"/>
          <w:sz w:val="19"/>
          <w:szCs w:val="19"/>
        </w:rPr>
        <w:t>phenol hydroxilase, catechol 1,2-dioxigenase</w:t>
      </w:r>
    </w:p>
    <w:p w:rsidR="00666A6E" w:rsidRPr="0005164C" w:rsidRDefault="00666A6E" w:rsidP="00666A6E">
      <w:pPr>
        <w:pStyle w:val="keywords"/>
        <w:ind w:firstLine="0"/>
        <w:rPr>
          <w:bCs w:val="0"/>
          <w:i w:val="0"/>
          <w:iCs w:val="0"/>
          <w:noProof w:val="0"/>
          <w:sz w:val="19"/>
          <w:szCs w:val="19"/>
          <w:lang w:val="en-IN" w:eastAsia="en-IN"/>
        </w:rPr>
      </w:pPr>
    </w:p>
    <w:p w:rsidR="00666A6E" w:rsidRPr="0005164C" w:rsidRDefault="00666A6E" w:rsidP="00666A6E">
      <w:pPr>
        <w:pStyle w:val="keywords"/>
        <w:numPr>
          <w:ilvl w:val="0"/>
          <w:numId w:val="1"/>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BF5648" w:rsidRPr="00BF5648" w:rsidRDefault="00BF5648" w:rsidP="00BF5648">
      <w:pPr>
        <w:jc w:val="both"/>
        <w:rPr>
          <w:rStyle w:val="alt-edited"/>
          <w:sz w:val="19"/>
          <w:szCs w:val="19"/>
        </w:rPr>
      </w:pPr>
      <w:r w:rsidRPr="00BF5648">
        <w:rPr>
          <w:rStyle w:val="tlid-translation"/>
          <w:sz w:val="19"/>
          <w:szCs w:val="19"/>
        </w:rPr>
        <w:t xml:space="preserve">The ability of various microorganisms to decompose aromatic contaminants has been actively investigated for many years. However, there is very little available scientific information on Antarctic </w:t>
      </w:r>
      <w:r w:rsidRPr="00BF5648">
        <w:rPr>
          <w:rStyle w:val="tlid-translation"/>
          <w:rFonts w:eastAsia="MS Mincho"/>
          <w:sz w:val="19"/>
          <w:szCs w:val="19"/>
        </w:rPr>
        <w:t>e</w:t>
      </w:r>
      <w:r w:rsidRPr="00BF5648">
        <w:rPr>
          <w:rStyle w:val="tlid-translation"/>
          <w:sz w:val="19"/>
          <w:szCs w:val="19"/>
        </w:rPr>
        <w:t xml:space="preserve">ukaryotic </w:t>
      </w:r>
      <w:r w:rsidRPr="00BF5648">
        <w:rPr>
          <w:rStyle w:val="tlid-translation"/>
          <w:rFonts w:eastAsia="MS Mincho"/>
          <w:sz w:val="19"/>
          <w:szCs w:val="19"/>
        </w:rPr>
        <w:t>m</w:t>
      </w:r>
      <w:r w:rsidRPr="00BF5648">
        <w:rPr>
          <w:rStyle w:val="tlid-translation"/>
          <w:sz w:val="19"/>
          <w:szCs w:val="19"/>
        </w:rPr>
        <w:t>icroorganisms and their industrial potential, although their presence there has long been established</w:t>
      </w:r>
      <w:r w:rsidR="00E03BF4">
        <w:rPr>
          <w:rStyle w:val="tlid-translation"/>
          <w:sz w:val="19"/>
          <w:szCs w:val="19"/>
        </w:rPr>
        <w:t xml:space="preserve"> (1)</w:t>
      </w:r>
      <w:r w:rsidRPr="00BF5648">
        <w:rPr>
          <w:rStyle w:val="tlid-translation"/>
          <w:sz w:val="19"/>
          <w:szCs w:val="19"/>
        </w:rPr>
        <w:t>.</w:t>
      </w:r>
      <w:r w:rsidR="00E03BF4">
        <w:rPr>
          <w:rStyle w:val="tlid-translation"/>
          <w:sz w:val="19"/>
          <w:szCs w:val="19"/>
        </w:rPr>
        <w:t xml:space="preserve"> </w:t>
      </w:r>
      <w:r w:rsidRPr="00BF5648">
        <w:rPr>
          <w:rStyle w:val="tlid-translation"/>
          <w:sz w:val="19"/>
          <w:szCs w:val="19"/>
        </w:rPr>
        <w:t>The aim of the presen</w:t>
      </w:r>
      <w:r w:rsidRPr="00BF5648">
        <w:rPr>
          <w:rStyle w:val="tlid-translation"/>
          <w:rFonts w:eastAsia="MS Mincho"/>
          <w:sz w:val="19"/>
          <w:szCs w:val="19"/>
        </w:rPr>
        <w:t>t study is to examine</w:t>
      </w:r>
      <w:r w:rsidRPr="00BF5648">
        <w:rPr>
          <w:rStyle w:val="tlid-translation"/>
          <w:sz w:val="19"/>
          <w:szCs w:val="19"/>
        </w:rPr>
        <w:t xml:space="preserve"> the ability of a fungal strain belonging to the genus Lecanicillium and isolated from a soil sample from Antarctica</w:t>
      </w:r>
      <w:r w:rsidR="00E03BF4">
        <w:rPr>
          <w:rStyle w:val="tlid-translation"/>
          <w:sz w:val="19"/>
          <w:szCs w:val="19"/>
        </w:rPr>
        <w:t xml:space="preserve"> (2)</w:t>
      </w:r>
      <w:r w:rsidRPr="00BF5648">
        <w:rPr>
          <w:rStyle w:val="tlid-translation"/>
          <w:sz w:val="19"/>
          <w:szCs w:val="19"/>
        </w:rPr>
        <w:t xml:space="preserve"> to degrade phenol and catechol</w:t>
      </w:r>
      <w:r w:rsidRPr="00BF5648">
        <w:rPr>
          <w:rStyle w:val="tlid-translation"/>
          <w:rFonts w:eastAsia="MS Mincho"/>
          <w:sz w:val="19"/>
          <w:szCs w:val="19"/>
        </w:rPr>
        <w:t xml:space="preserve"> in mesophilic conditions (23°C) and low temperature (10°</w:t>
      </w:r>
      <w:r w:rsidRPr="00BF5648">
        <w:rPr>
          <w:rStyle w:val="tlid-translation"/>
          <w:sz w:val="19"/>
          <w:szCs w:val="19"/>
        </w:rPr>
        <w:t>C). The results show that the test strain degrades catechol i</w:t>
      </w:r>
      <w:r w:rsidRPr="00BF5648">
        <w:rPr>
          <w:rStyle w:val="tlid-translation"/>
          <w:rFonts w:eastAsia="MS Mincho"/>
          <w:sz w:val="19"/>
          <w:szCs w:val="19"/>
        </w:rPr>
        <w:t>n a higher concentration (0.3 g/l) than phenol (0.2 g/</w:t>
      </w:r>
      <w:r w:rsidRPr="00BF5648">
        <w:rPr>
          <w:rStyle w:val="tlid-translation"/>
          <w:sz w:val="19"/>
          <w:szCs w:val="19"/>
        </w:rPr>
        <w:t>l) within about 400 hours</w:t>
      </w:r>
      <w:r w:rsidRPr="00BF5648">
        <w:rPr>
          <w:rStyle w:val="tlid-translation"/>
          <w:rFonts w:eastAsia="MS Mincho"/>
          <w:sz w:val="19"/>
          <w:szCs w:val="19"/>
        </w:rPr>
        <w:t>.</w:t>
      </w:r>
      <w:r>
        <w:rPr>
          <w:rStyle w:val="tlid-translation"/>
          <w:rFonts w:eastAsia="MS Mincho"/>
          <w:sz w:val="19"/>
          <w:szCs w:val="19"/>
        </w:rPr>
        <w:t xml:space="preserve"> </w:t>
      </w:r>
      <w:r w:rsidRPr="00BF5648">
        <w:rPr>
          <w:rStyle w:val="alt-edited"/>
          <w:rFonts w:eastAsia="MS Mincho"/>
          <w:sz w:val="19"/>
          <w:szCs w:val="19"/>
        </w:rPr>
        <w:t>It was found that the activity of two key for degradation of phenolic compounds enzymes, such as phenol hydroxylase and catechol 1,2</w:t>
      </w:r>
      <w:r w:rsidRPr="00BF5648">
        <w:rPr>
          <w:rStyle w:val="alt-edited"/>
          <w:sz w:val="19"/>
          <w:szCs w:val="19"/>
        </w:rPr>
        <w:t xml:space="preserve"> -</w:t>
      </w:r>
      <w:r w:rsidRPr="00BF5648">
        <w:rPr>
          <w:rStyle w:val="alt-edited"/>
          <w:rFonts w:eastAsia="MS Mincho"/>
          <w:sz w:val="19"/>
          <w:szCs w:val="19"/>
        </w:rPr>
        <w:t xml:space="preserve"> dioxygenase differ between the two temperature regimes, as at 10</w:t>
      </w:r>
      <w:r w:rsidRPr="00BF5648">
        <w:rPr>
          <w:rStyle w:val="alt-edited"/>
          <w:sz w:val="19"/>
          <w:szCs w:val="19"/>
        </w:rPr>
        <w:t>°</w:t>
      </w:r>
      <w:r w:rsidRPr="00BF5648">
        <w:rPr>
          <w:rStyle w:val="alt-edited"/>
          <w:rFonts w:eastAsia="MS Mincho"/>
          <w:sz w:val="19"/>
          <w:szCs w:val="19"/>
        </w:rPr>
        <w:t xml:space="preserve"> C were lower.</w:t>
      </w:r>
      <w:r w:rsidRPr="00BF5648">
        <w:rPr>
          <w:rStyle w:val="alt-edited"/>
          <w:sz w:val="19"/>
          <w:szCs w:val="19"/>
        </w:rPr>
        <w:t xml:space="preserve"> </w:t>
      </w:r>
      <w:r w:rsidRPr="00BF5648">
        <w:rPr>
          <w:rStyle w:val="tlid-translation"/>
          <w:sz w:val="19"/>
          <w:szCs w:val="19"/>
        </w:rPr>
        <w:t>However, we observe that the time required for complete degradation of the two substrates does not differ significantly in the two temperature modes of cultivation.</w:t>
      </w:r>
      <w:r w:rsidRPr="00BF5648">
        <w:rPr>
          <w:rStyle w:val="tlid-translation"/>
          <w:rFonts w:eastAsia="MS Mincho"/>
          <w:sz w:val="19"/>
          <w:szCs w:val="19"/>
        </w:rPr>
        <w:t xml:space="preserve"> </w:t>
      </w:r>
      <w:r w:rsidRPr="00BF5648">
        <w:rPr>
          <w:rStyle w:val="tlid-translation"/>
          <w:sz w:val="19"/>
          <w:szCs w:val="19"/>
        </w:rPr>
        <w:t>This effect may be due to the relatively low activity of pheno</w:t>
      </w:r>
      <w:r w:rsidRPr="00BF5648">
        <w:rPr>
          <w:rStyle w:val="tlid-translation"/>
          <w:rFonts w:eastAsia="MS Mincho"/>
          <w:sz w:val="19"/>
          <w:szCs w:val="19"/>
        </w:rPr>
        <w:t>l hydroxylase (lower than 0.1 U/</w:t>
      </w:r>
      <w:r w:rsidRPr="00BF5648">
        <w:rPr>
          <w:rStyle w:val="tlid-translation"/>
          <w:sz w:val="19"/>
          <w:szCs w:val="19"/>
        </w:rPr>
        <w:t xml:space="preserve">mg </w:t>
      </w:r>
      <w:proofErr w:type="gramStart"/>
      <w:r w:rsidRPr="00BF5648">
        <w:rPr>
          <w:rStyle w:val="tlid-translation"/>
          <w:sz w:val="19"/>
          <w:szCs w:val="19"/>
        </w:rPr>
        <w:t>protein</w:t>
      </w:r>
      <w:proofErr w:type="gramEnd"/>
      <w:r w:rsidRPr="00BF5648">
        <w:rPr>
          <w:rStyle w:val="tlid-translation"/>
          <w:sz w:val="19"/>
          <w:szCs w:val="19"/>
        </w:rPr>
        <w:t>) with respect to both substrates at both test temperatures, resulting in an equally slow first decomposition step.</w:t>
      </w:r>
      <w:r w:rsidRPr="00BF5648">
        <w:rPr>
          <w:rStyle w:val="tlid-translation"/>
          <w:rFonts w:eastAsia="MS Mincho"/>
          <w:sz w:val="19"/>
          <w:szCs w:val="19"/>
        </w:rPr>
        <w:t xml:space="preserve"> The </w:t>
      </w:r>
      <w:r w:rsidRPr="00BF5648">
        <w:rPr>
          <w:rStyle w:val="alt-edited"/>
          <w:sz w:val="19"/>
          <w:szCs w:val="19"/>
        </w:rPr>
        <w:t>h</w:t>
      </w:r>
      <w:r w:rsidRPr="00BF5648">
        <w:rPr>
          <w:rStyle w:val="alt-edited"/>
          <w:rFonts w:eastAsia="MS Mincho"/>
          <w:sz w:val="19"/>
          <w:szCs w:val="19"/>
        </w:rPr>
        <w:t>ighest catechol 1</w:t>
      </w:r>
      <w:proofErr w:type="gramStart"/>
      <w:r w:rsidRPr="00BF5648">
        <w:rPr>
          <w:rStyle w:val="alt-edited"/>
          <w:rFonts w:eastAsia="MS Mincho"/>
          <w:sz w:val="19"/>
          <w:szCs w:val="19"/>
        </w:rPr>
        <w:t>,2</w:t>
      </w:r>
      <w:proofErr w:type="gramEnd"/>
      <w:r w:rsidRPr="00BF5648">
        <w:rPr>
          <w:rStyle w:val="alt-edited"/>
          <w:rFonts w:eastAsia="MS Mincho"/>
          <w:sz w:val="19"/>
          <w:szCs w:val="19"/>
        </w:rPr>
        <w:t>-dioxygenase activity was measured in the degradation of catechol at 23</w:t>
      </w:r>
      <w:r w:rsidRPr="00BF5648">
        <w:rPr>
          <w:rStyle w:val="alt-edited"/>
          <w:sz w:val="19"/>
          <w:szCs w:val="19"/>
        </w:rPr>
        <w:t>°C - 0.271 U/</w:t>
      </w:r>
      <w:r w:rsidRPr="00BF5648">
        <w:rPr>
          <w:rStyle w:val="alt-edited"/>
          <w:rFonts w:eastAsia="MS Mincho"/>
          <w:sz w:val="19"/>
          <w:szCs w:val="19"/>
        </w:rPr>
        <w:t xml:space="preserve">mg </w:t>
      </w:r>
      <w:r w:rsidRPr="00BF5648">
        <w:rPr>
          <w:rStyle w:val="alt-edited"/>
          <w:sz w:val="19"/>
          <w:szCs w:val="19"/>
        </w:rPr>
        <w:t>protein</w:t>
      </w:r>
      <w:r w:rsidRPr="00BF5648">
        <w:rPr>
          <w:rStyle w:val="alt-edited"/>
          <w:rFonts w:eastAsia="MS Mincho"/>
          <w:sz w:val="19"/>
          <w:szCs w:val="19"/>
        </w:rPr>
        <w:t>, while at 10</w:t>
      </w:r>
      <w:r w:rsidRPr="00BF5648">
        <w:rPr>
          <w:rStyle w:val="alt-edited"/>
          <w:sz w:val="19"/>
          <w:szCs w:val="19"/>
        </w:rPr>
        <w:t>°</w:t>
      </w:r>
      <w:r w:rsidRPr="00BF5648">
        <w:rPr>
          <w:rStyle w:val="alt-edited"/>
          <w:rFonts w:eastAsia="MS Mincho"/>
          <w:sz w:val="19"/>
          <w:szCs w:val="19"/>
        </w:rPr>
        <w:t>C, it is 108</w:t>
      </w:r>
      <w:r w:rsidRPr="00BF5648">
        <w:rPr>
          <w:rStyle w:val="alt-edited"/>
          <w:sz w:val="19"/>
          <w:szCs w:val="19"/>
        </w:rPr>
        <w:t xml:space="preserve"> U/</w:t>
      </w:r>
      <w:r w:rsidRPr="00BF5648">
        <w:rPr>
          <w:rStyle w:val="alt-edited"/>
          <w:rFonts w:eastAsia="MS Mincho"/>
          <w:sz w:val="19"/>
          <w:szCs w:val="19"/>
        </w:rPr>
        <w:t xml:space="preserve">mg </w:t>
      </w:r>
      <w:r w:rsidRPr="00BF5648">
        <w:rPr>
          <w:rStyle w:val="alt-edited"/>
          <w:sz w:val="19"/>
          <w:szCs w:val="19"/>
        </w:rPr>
        <w:t>protein</w:t>
      </w:r>
      <w:r w:rsidRPr="00BF5648">
        <w:rPr>
          <w:rStyle w:val="alt-edited"/>
          <w:rFonts w:eastAsia="MS Mincho"/>
          <w:sz w:val="19"/>
          <w:szCs w:val="19"/>
        </w:rPr>
        <w:t>.</w:t>
      </w:r>
      <w:r>
        <w:rPr>
          <w:rStyle w:val="alt-edited"/>
          <w:rFonts w:eastAsia="MS Mincho"/>
          <w:sz w:val="19"/>
          <w:szCs w:val="19"/>
        </w:rPr>
        <w:t xml:space="preserve"> </w:t>
      </w:r>
      <w:r w:rsidRPr="00BF5648">
        <w:rPr>
          <w:rStyle w:val="tlid-translation"/>
          <w:sz w:val="19"/>
          <w:szCs w:val="19"/>
        </w:rPr>
        <w:t>These data indicate the ability of the test strain to degrade polyaromatic compounds where the catechol-1</w:t>
      </w:r>
      <w:proofErr w:type="gramStart"/>
      <w:r w:rsidRPr="00BF5648">
        <w:rPr>
          <w:rStyle w:val="tlid-translation"/>
          <w:sz w:val="19"/>
          <w:szCs w:val="19"/>
        </w:rPr>
        <w:t>,2</w:t>
      </w:r>
      <w:proofErr w:type="gramEnd"/>
      <w:r w:rsidRPr="00BF5648">
        <w:rPr>
          <w:rStyle w:val="tlid-translation"/>
          <w:sz w:val="19"/>
          <w:szCs w:val="19"/>
        </w:rPr>
        <w:t>-dioxinase enzyme activity is important.</w:t>
      </w:r>
    </w:p>
    <w:p w:rsidR="00666A6E" w:rsidRPr="00413952" w:rsidRDefault="00666A6E" w:rsidP="00666A6E">
      <w:pPr>
        <w:jc w:val="both"/>
        <w:rPr>
          <w:sz w:val="19"/>
          <w:szCs w:val="19"/>
        </w:rPr>
      </w:pPr>
    </w:p>
    <w:p w:rsidR="00666A6E" w:rsidRPr="00255482" w:rsidRDefault="00666A6E" w:rsidP="00666A6E">
      <w:pPr>
        <w:numPr>
          <w:ilvl w:val="0"/>
          <w:numId w:val="1"/>
        </w:numPr>
        <w:jc w:val="both"/>
        <w:rPr>
          <w:sz w:val="19"/>
          <w:szCs w:val="19"/>
        </w:rPr>
      </w:pPr>
      <w:r w:rsidRPr="009355CA">
        <w:rPr>
          <w:sz w:val="19"/>
          <w:szCs w:val="19"/>
          <w:lang w:val="en-IN" w:eastAsia="en-IN"/>
        </w:rPr>
        <w:t xml:space="preserve"> </w:t>
      </w:r>
      <w:r w:rsidRPr="009355CA">
        <w:rPr>
          <w:b/>
          <w:sz w:val="19"/>
          <w:szCs w:val="19"/>
        </w:rPr>
        <w:t>Image:</w:t>
      </w:r>
    </w:p>
    <w:p w:rsidR="00255482" w:rsidRPr="009355CA" w:rsidRDefault="00255482" w:rsidP="00255482">
      <w:pPr>
        <w:ind w:left="1714"/>
        <w:jc w:val="both"/>
        <w:rPr>
          <w:sz w:val="19"/>
          <w:szCs w:val="19"/>
        </w:rPr>
      </w:pPr>
    </w:p>
    <w:p w:rsidR="00666A6E" w:rsidRDefault="00255482" w:rsidP="00666A6E">
      <w:pPr>
        <w:pStyle w:val="BodyText"/>
        <w:ind w:firstLine="0"/>
        <w:rPr>
          <w:sz w:val="19"/>
          <w:szCs w:val="19"/>
        </w:rPr>
      </w:pPr>
      <w:r>
        <w:rPr>
          <w:noProof/>
        </w:rPr>
        <w:drawing>
          <wp:inline distT="0" distB="0" distL="0" distR="0">
            <wp:extent cx="2763672" cy="2251881"/>
            <wp:effectExtent l="0" t="0" r="0" b="0"/>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666A6E" w:rsidRPr="00255482" w:rsidRDefault="006027B9" w:rsidP="00255482">
      <w:pPr>
        <w:pStyle w:val="BodyText"/>
        <w:ind w:firstLine="0"/>
        <w:jc w:val="left"/>
        <w:rPr>
          <w:sz w:val="19"/>
          <w:szCs w:val="19"/>
        </w:rPr>
      </w:pPr>
      <w:r>
        <w:rPr>
          <w:noProof/>
          <w:sz w:val="19"/>
          <w:szCs w:val="19"/>
        </w:rPr>
        <w:pict>
          <v:shapetype id="_x0000_t109" coordsize="21600,21600" o:spt="109" path="m,l,21600r21600,l21600,xe">
            <v:stroke joinstyle="miter"/>
            <v:path gradientshapeok="t" o:connecttype="rect"/>
          </v:shapetype>
          <v:shape id="_x0000_s1027" type="#_x0000_t109" style="position:absolute;margin-left:175.3pt;margin-top:4.9pt;width:12.75pt;height:2.85pt;z-index:251659264" fillcolor="#c00000" strokecolor="#c00000"/>
        </w:pict>
      </w:r>
      <w:r>
        <w:rPr>
          <w:noProof/>
          <w:sz w:val="19"/>
          <w:szCs w:val="19"/>
        </w:rPr>
        <w:pict>
          <v:shape id="_x0000_s1026" type="#_x0000_t109" style="position:absolute;margin-left:101.5pt;margin-top:4.9pt;width:12.75pt;height:2.85pt;z-index:251658240" fillcolor="#002060" strokecolor="#002060"/>
        </w:pict>
      </w:r>
      <w:r w:rsidR="00255482" w:rsidRPr="00255482">
        <w:rPr>
          <w:rStyle w:val="tlid-translation"/>
          <w:sz w:val="19"/>
          <w:szCs w:val="19"/>
        </w:rPr>
        <w:t>B</w:t>
      </w:r>
      <w:r w:rsidR="00666A6E" w:rsidRPr="00255482">
        <w:rPr>
          <w:rStyle w:val="tlid-translation"/>
          <w:sz w:val="19"/>
          <w:szCs w:val="19"/>
        </w:rPr>
        <w:t>iodegradation of phen</w:t>
      </w:r>
      <w:r w:rsidR="00255482" w:rsidRPr="00255482">
        <w:rPr>
          <w:rStyle w:val="tlid-translation"/>
          <w:sz w:val="19"/>
          <w:szCs w:val="19"/>
        </w:rPr>
        <w:t>ol (</w:t>
      </w:r>
      <w:r>
        <w:rPr>
          <w:rStyle w:val="tlid-translation"/>
          <w:sz w:val="19"/>
          <w:szCs w:val="19"/>
        </w:rPr>
        <w:t xml:space="preserve">     </w:t>
      </w:r>
      <w:r w:rsidR="00255482" w:rsidRPr="00255482">
        <w:rPr>
          <w:rStyle w:val="tlid-translation"/>
          <w:sz w:val="19"/>
          <w:szCs w:val="19"/>
        </w:rPr>
        <w:t xml:space="preserve"> )</w:t>
      </w:r>
      <w:r w:rsidR="00666A6E" w:rsidRPr="00255482">
        <w:rPr>
          <w:rStyle w:val="tlid-translation"/>
          <w:sz w:val="19"/>
          <w:szCs w:val="19"/>
        </w:rPr>
        <w:t xml:space="preserve"> and </w:t>
      </w:r>
      <w:r w:rsidR="00255482" w:rsidRPr="00255482">
        <w:rPr>
          <w:rStyle w:val="tlid-translation"/>
          <w:sz w:val="19"/>
          <w:szCs w:val="19"/>
        </w:rPr>
        <w:t>catechol (</w:t>
      </w:r>
      <w:r>
        <w:rPr>
          <w:rStyle w:val="tlid-translation"/>
          <w:sz w:val="19"/>
          <w:szCs w:val="19"/>
        </w:rPr>
        <w:t xml:space="preserve">      </w:t>
      </w:r>
      <w:r w:rsidR="00255482" w:rsidRPr="00255482">
        <w:rPr>
          <w:rStyle w:val="tlid-translation"/>
          <w:sz w:val="19"/>
          <w:szCs w:val="19"/>
        </w:rPr>
        <w:t xml:space="preserve"> )</w:t>
      </w:r>
      <w:r w:rsidR="00666A6E" w:rsidRPr="00255482">
        <w:rPr>
          <w:rStyle w:val="tlid-translation"/>
          <w:sz w:val="19"/>
          <w:szCs w:val="19"/>
        </w:rPr>
        <w:t xml:space="preserve"> </w:t>
      </w:r>
      <w:r w:rsidR="00666A6E">
        <w:rPr>
          <w:rStyle w:val="tlid-translation"/>
        </w:rPr>
        <w:t xml:space="preserve">by </w:t>
      </w:r>
      <w:r w:rsidR="00255482" w:rsidRPr="00255482">
        <w:rPr>
          <w:i/>
          <w:sz w:val="22"/>
          <w:szCs w:val="22"/>
        </w:rPr>
        <w:t>Lecanicillium</w:t>
      </w:r>
      <w:r w:rsidR="00255482" w:rsidRPr="00255482">
        <w:rPr>
          <w:sz w:val="22"/>
          <w:szCs w:val="22"/>
        </w:rPr>
        <w:t xml:space="preserve"> sp. AL12</w:t>
      </w:r>
    </w:p>
    <w:p w:rsidR="00666A6E" w:rsidRPr="0005164C" w:rsidRDefault="00666A6E" w:rsidP="00666A6E">
      <w:pPr>
        <w:pStyle w:val="BodyText"/>
        <w:jc w:val="left"/>
        <w:rPr>
          <w:sz w:val="19"/>
          <w:szCs w:val="19"/>
        </w:rPr>
      </w:pPr>
    </w:p>
    <w:p w:rsidR="00666A6E" w:rsidRPr="0005164C" w:rsidRDefault="00666A6E" w:rsidP="00FC645C">
      <w:pPr>
        <w:pStyle w:val="BodyText"/>
        <w:numPr>
          <w:ilvl w:val="0"/>
          <w:numId w:val="1"/>
        </w:numPr>
        <w:ind w:left="1418" w:hanging="424"/>
        <w:jc w:val="left"/>
        <w:rPr>
          <w:b/>
          <w:sz w:val="19"/>
          <w:szCs w:val="19"/>
        </w:rPr>
      </w:pPr>
      <w:r w:rsidRPr="0005164C">
        <w:rPr>
          <w:b/>
          <w:sz w:val="19"/>
          <w:szCs w:val="19"/>
        </w:rPr>
        <w:t>Reference:</w:t>
      </w:r>
    </w:p>
    <w:p w:rsidR="00E03BF4" w:rsidRPr="00E03BF4" w:rsidRDefault="00E03BF4" w:rsidP="00A64C49">
      <w:pPr>
        <w:pStyle w:val="Heading1"/>
        <w:numPr>
          <w:ilvl w:val="0"/>
          <w:numId w:val="2"/>
        </w:numPr>
        <w:jc w:val="both"/>
        <w:rPr>
          <w:rFonts w:ascii="Times New Roman" w:hAnsi="Times New Roman" w:cs="Times New Roman"/>
          <w:b w:val="0"/>
          <w:sz w:val="19"/>
          <w:szCs w:val="19"/>
        </w:rPr>
      </w:pPr>
      <w:bookmarkStart w:id="0" w:name="2"/>
      <w:bookmarkEnd w:id="0"/>
      <w:proofErr w:type="gramStart"/>
      <w:r w:rsidRPr="00E03BF4">
        <w:rPr>
          <w:rFonts w:ascii="Times New Roman" w:hAnsi="Times New Roman" w:cs="Times New Roman"/>
          <w:b w:val="0"/>
          <w:sz w:val="19"/>
          <w:szCs w:val="19"/>
        </w:rPr>
        <w:t xml:space="preserve">Lee, G.L.Y., </w:t>
      </w:r>
      <w:proofErr w:type="spellStart"/>
      <w:r w:rsidRPr="00E03BF4">
        <w:rPr>
          <w:rFonts w:ascii="Times New Roman" w:hAnsi="Times New Roman" w:cs="Times New Roman"/>
          <w:b w:val="0"/>
          <w:sz w:val="19"/>
          <w:szCs w:val="19"/>
        </w:rPr>
        <w:t>S.Ahmad</w:t>
      </w:r>
      <w:proofErr w:type="spellEnd"/>
      <w:r w:rsidRPr="00E03BF4">
        <w:rPr>
          <w:rFonts w:ascii="Times New Roman" w:hAnsi="Times New Roman" w:cs="Times New Roman"/>
          <w:b w:val="0"/>
          <w:sz w:val="19"/>
          <w:szCs w:val="19"/>
        </w:rPr>
        <w:t xml:space="preserve">, </w:t>
      </w:r>
      <w:proofErr w:type="spellStart"/>
      <w:r w:rsidRPr="00E03BF4">
        <w:rPr>
          <w:rFonts w:ascii="Times New Roman" w:hAnsi="Times New Roman" w:cs="Times New Roman"/>
          <w:b w:val="0"/>
          <w:sz w:val="19"/>
          <w:szCs w:val="19"/>
        </w:rPr>
        <w:t>N.A.Yasid</w:t>
      </w:r>
      <w:proofErr w:type="spellEnd"/>
      <w:r w:rsidRPr="00E03BF4">
        <w:rPr>
          <w:rFonts w:ascii="Times New Roman" w:hAnsi="Times New Roman" w:cs="Times New Roman"/>
          <w:b w:val="0"/>
          <w:sz w:val="19"/>
          <w:szCs w:val="19"/>
        </w:rPr>
        <w:t>, A.</w:t>
      </w:r>
      <w:proofErr w:type="gramEnd"/>
      <w:r w:rsidRPr="00E03BF4">
        <w:rPr>
          <w:rFonts w:ascii="Times New Roman" w:hAnsi="Times New Roman" w:cs="Times New Roman"/>
          <w:b w:val="0"/>
          <w:sz w:val="19"/>
          <w:szCs w:val="19"/>
        </w:rPr>
        <w:t xml:space="preserve">  </w:t>
      </w:r>
      <w:proofErr w:type="spellStart"/>
      <w:r w:rsidRPr="00E03BF4">
        <w:rPr>
          <w:rStyle w:val="authorsname"/>
          <w:rFonts w:ascii="Times New Roman" w:hAnsi="Times New Roman" w:cs="Times New Roman"/>
          <w:b w:val="0"/>
          <w:sz w:val="19"/>
          <w:szCs w:val="19"/>
        </w:rPr>
        <w:t>Zulkharnain</w:t>
      </w:r>
      <w:proofErr w:type="spellEnd"/>
      <w:r w:rsidRPr="00E03BF4">
        <w:rPr>
          <w:rStyle w:val="authorsname"/>
          <w:rFonts w:ascii="Times New Roman" w:hAnsi="Times New Roman" w:cs="Times New Roman"/>
          <w:b w:val="0"/>
          <w:sz w:val="19"/>
          <w:szCs w:val="19"/>
        </w:rPr>
        <w:t xml:space="preserve">, P. Convey, W.L.W. </w:t>
      </w:r>
      <w:proofErr w:type="spellStart"/>
      <w:r w:rsidRPr="00E03BF4">
        <w:rPr>
          <w:rStyle w:val="authorsname"/>
          <w:rFonts w:ascii="Times New Roman" w:hAnsi="Times New Roman" w:cs="Times New Roman"/>
          <w:b w:val="0"/>
          <w:sz w:val="19"/>
          <w:szCs w:val="19"/>
        </w:rPr>
        <w:t>Johari</w:t>
      </w:r>
      <w:proofErr w:type="spellEnd"/>
      <w:r w:rsidRPr="00E03BF4">
        <w:rPr>
          <w:rStyle w:val="authorsname"/>
          <w:rFonts w:ascii="Times New Roman" w:hAnsi="Times New Roman" w:cs="Times New Roman"/>
          <w:b w:val="0"/>
          <w:sz w:val="19"/>
          <w:szCs w:val="19"/>
        </w:rPr>
        <w:t xml:space="preserve">, S.A. Alias, G. Gonzalez-Rocha, M.Y. </w:t>
      </w:r>
      <w:proofErr w:type="spellStart"/>
      <w:r w:rsidRPr="00E03BF4">
        <w:rPr>
          <w:rStyle w:val="authorsname"/>
          <w:rFonts w:ascii="Times New Roman" w:hAnsi="Times New Roman" w:cs="Times New Roman"/>
          <w:b w:val="0"/>
          <w:sz w:val="19"/>
          <w:szCs w:val="19"/>
        </w:rPr>
        <w:t>Shukor</w:t>
      </w:r>
      <w:proofErr w:type="spellEnd"/>
      <w:r w:rsidRPr="00E03BF4">
        <w:rPr>
          <w:rStyle w:val="authorsname"/>
          <w:rFonts w:ascii="Times New Roman" w:hAnsi="Times New Roman" w:cs="Times New Roman"/>
          <w:b w:val="0"/>
          <w:sz w:val="19"/>
          <w:szCs w:val="19"/>
        </w:rPr>
        <w:t>, 2018.</w:t>
      </w:r>
      <w:r w:rsidRPr="00E03BF4">
        <w:rPr>
          <w:rFonts w:ascii="Times New Roman" w:hAnsi="Times New Roman" w:cs="Times New Roman"/>
          <w:b w:val="0"/>
          <w:sz w:val="19"/>
          <w:szCs w:val="19"/>
        </w:rPr>
        <w:t xml:space="preserve"> </w:t>
      </w:r>
      <w:proofErr w:type="gramStart"/>
      <w:r w:rsidRPr="00E03BF4">
        <w:rPr>
          <w:rFonts w:ascii="Times New Roman" w:hAnsi="Times New Roman" w:cs="Times New Roman"/>
          <w:b w:val="0"/>
          <w:sz w:val="19"/>
          <w:szCs w:val="19"/>
        </w:rPr>
        <w:t>Biodegradation of phenol by cold-adapted bacteria from Antarctic soils.</w:t>
      </w:r>
      <w:proofErr w:type="gramEnd"/>
      <w:r w:rsidRPr="00E03BF4">
        <w:rPr>
          <w:rFonts w:ascii="Times New Roman" w:hAnsi="Times New Roman" w:cs="Times New Roman"/>
          <w:b w:val="0"/>
          <w:sz w:val="19"/>
          <w:szCs w:val="19"/>
        </w:rPr>
        <w:t xml:space="preserve"> Polar </w:t>
      </w:r>
      <w:proofErr w:type="spellStart"/>
      <w:r w:rsidRPr="00E03BF4">
        <w:rPr>
          <w:rFonts w:ascii="Times New Roman" w:hAnsi="Times New Roman" w:cs="Times New Roman"/>
          <w:b w:val="0"/>
          <w:sz w:val="19"/>
          <w:szCs w:val="19"/>
        </w:rPr>
        <w:t>Biol</w:t>
      </w:r>
      <w:proofErr w:type="spellEnd"/>
      <w:r w:rsidRPr="00E03BF4">
        <w:rPr>
          <w:rFonts w:ascii="Times New Roman" w:hAnsi="Times New Roman" w:cs="Times New Roman"/>
          <w:b w:val="0"/>
          <w:sz w:val="19"/>
          <w:szCs w:val="19"/>
        </w:rPr>
        <w:t xml:space="preserve">, 41: 553. </w:t>
      </w:r>
    </w:p>
    <w:p w:rsidR="00A64C49" w:rsidRDefault="00D0477B" w:rsidP="00A64C49">
      <w:pPr>
        <w:pStyle w:val="ListParagraph"/>
        <w:numPr>
          <w:ilvl w:val="0"/>
          <w:numId w:val="2"/>
        </w:numPr>
        <w:jc w:val="both"/>
        <w:rPr>
          <w:sz w:val="19"/>
          <w:szCs w:val="19"/>
        </w:rPr>
      </w:pPr>
      <w:r w:rsidRPr="00D0477B">
        <w:rPr>
          <w:sz w:val="19"/>
          <w:szCs w:val="19"/>
        </w:rPr>
        <w:t>Litova</w:t>
      </w:r>
      <w:r w:rsidRPr="00D0477B">
        <w:rPr>
          <w:sz w:val="19"/>
          <w:szCs w:val="19"/>
          <w:lang w:val="bg-BG"/>
        </w:rPr>
        <w:t xml:space="preserve"> </w:t>
      </w:r>
      <w:r w:rsidRPr="00D0477B">
        <w:rPr>
          <w:sz w:val="19"/>
          <w:szCs w:val="19"/>
        </w:rPr>
        <w:t>K</w:t>
      </w:r>
      <w:r w:rsidRPr="00D0477B">
        <w:rPr>
          <w:sz w:val="19"/>
          <w:szCs w:val="19"/>
          <w:lang w:val="bg-BG"/>
        </w:rPr>
        <w:t xml:space="preserve">., </w:t>
      </w:r>
      <w:r w:rsidRPr="00D0477B">
        <w:rPr>
          <w:sz w:val="19"/>
          <w:szCs w:val="19"/>
        </w:rPr>
        <w:t>M</w:t>
      </w:r>
      <w:r w:rsidRPr="00D0477B">
        <w:rPr>
          <w:sz w:val="19"/>
          <w:szCs w:val="19"/>
          <w:lang w:val="bg-BG"/>
        </w:rPr>
        <w:t>.</w:t>
      </w:r>
      <w:r w:rsidRPr="00D0477B">
        <w:rPr>
          <w:sz w:val="19"/>
          <w:szCs w:val="19"/>
        </w:rPr>
        <w:t xml:space="preserve"> Gerginova</w:t>
      </w:r>
      <w:r w:rsidRPr="00D0477B">
        <w:rPr>
          <w:sz w:val="19"/>
          <w:szCs w:val="19"/>
          <w:lang w:val="bg-BG"/>
        </w:rPr>
        <w:t xml:space="preserve">, </w:t>
      </w:r>
      <w:r w:rsidRPr="00D0477B">
        <w:rPr>
          <w:sz w:val="19"/>
          <w:szCs w:val="19"/>
        </w:rPr>
        <w:t>N</w:t>
      </w:r>
      <w:r w:rsidRPr="00D0477B">
        <w:rPr>
          <w:sz w:val="19"/>
          <w:szCs w:val="19"/>
          <w:lang w:val="bg-BG"/>
        </w:rPr>
        <w:t>.</w:t>
      </w:r>
      <w:r w:rsidRPr="00D0477B">
        <w:rPr>
          <w:sz w:val="19"/>
          <w:szCs w:val="19"/>
        </w:rPr>
        <w:t xml:space="preserve"> Peneva</w:t>
      </w:r>
      <w:r w:rsidRPr="00D0477B">
        <w:rPr>
          <w:sz w:val="19"/>
          <w:szCs w:val="19"/>
          <w:lang w:val="bg-BG"/>
        </w:rPr>
        <w:t xml:space="preserve">, </w:t>
      </w:r>
      <w:r w:rsidRPr="00D0477B">
        <w:rPr>
          <w:sz w:val="19"/>
          <w:szCs w:val="19"/>
        </w:rPr>
        <w:t>J</w:t>
      </w:r>
      <w:r w:rsidRPr="00D0477B">
        <w:rPr>
          <w:sz w:val="19"/>
          <w:szCs w:val="19"/>
          <w:lang w:val="bg-BG"/>
        </w:rPr>
        <w:t>.</w:t>
      </w:r>
      <w:r w:rsidRPr="00D0477B">
        <w:rPr>
          <w:sz w:val="19"/>
          <w:szCs w:val="19"/>
        </w:rPr>
        <w:t xml:space="preserve"> </w:t>
      </w:r>
      <w:proofErr w:type="spellStart"/>
      <w:r w:rsidRPr="00D0477B">
        <w:rPr>
          <w:sz w:val="19"/>
          <w:szCs w:val="19"/>
        </w:rPr>
        <w:t>Manasiev</w:t>
      </w:r>
      <w:proofErr w:type="spellEnd"/>
      <w:r w:rsidRPr="00D0477B">
        <w:rPr>
          <w:sz w:val="19"/>
          <w:szCs w:val="19"/>
          <w:lang w:val="bg-BG"/>
        </w:rPr>
        <w:t xml:space="preserve">, </w:t>
      </w:r>
      <w:r w:rsidRPr="00D0477B">
        <w:rPr>
          <w:sz w:val="19"/>
          <w:szCs w:val="19"/>
        </w:rPr>
        <w:t>Z</w:t>
      </w:r>
      <w:r w:rsidRPr="00D0477B">
        <w:rPr>
          <w:sz w:val="19"/>
          <w:szCs w:val="19"/>
          <w:lang w:val="bg-BG"/>
        </w:rPr>
        <w:t>.</w:t>
      </w:r>
      <w:r w:rsidRPr="00D0477B">
        <w:rPr>
          <w:sz w:val="19"/>
          <w:szCs w:val="19"/>
        </w:rPr>
        <w:t xml:space="preserve"> Alexieva, 2014.</w:t>
      </w:r>
      <w:r w:rsidRPr="00D0477B">
        <w:rPr>
          <w:sz w:val="19"/>
          <w:szCs w:val="19"/>
          <w:lang w:val="bg-BG"/>
        </w:rPr>
        <w:t xml:space="preserve"> </w:t>
      </w:r>
      <w:r w:rsidRPr="00D0477B">
        <w:rPr>
          <w:sz w:val="19"/>
          <w:szCs w:val="19"/>
        </w:rPr>
        <w:t>Growth</w:t>
      </w:r>
      <w:r w:rsidRPr="00D0477B">
        <w:rPr>
          <w:sz w:val="19"/>
          <w:szCs w:val="19"/>
          <w:lang w:val="bg-BG"/>
        </w:rPr>
        <w:t xml:space="preserve"> </w:t>
      </w:r>
      <w:r w:rsidRPr="00D0477B">
        <w:rPr>
          <w:sz w:val="19"/>
          <w:szCs w:val="19"/>
        </w:rPr>
        <w:t>of</w:t>
      </w:r>
      <w:r w:rsidRPr="00D0477B">
        <w:rPr>
          <w:sz w:val="19"/>
          <w:szCs w:val="19"/>
          <w:lang w:val="bg-BG"/>
        </w:rPr>
        <w:t xml:space="preserve"> </w:t>
      </w:r>
      <w:r w:rsidRPr="00D0477B">
        <w:rPr>
          <w:sz w:val="19"/>
          <w:szCs w:val="19"/>
        </w:rPr>
        <w:t>Antarctic</w:t>
      </w:r>
      <w:r w:rsidRPr="00D0477B">
        <w:rPr>
          <w:sz w:val="19"/>
          <w:szCs w:val="19"/>
          <w:lang w:val="bg-BG"/>
        </w:rPr>
        <w:t xml:space="preserve"> </w:t>
      </w:r>
      <w:r w:rsidRPr="00D0477B">
        <w:rPr>
          <w:sz w:val="19"/>
          <w:szCs w:val="19"/>
        </w:rPr>
        <w:t>fungal</w:t>
      </w:r>
      <w:r w:rsidRPr="00D0477B">
        <w:rPr>
          <w:sz w:val="19"/>
          <w:szCs w:val="19"/>
          <w:lang w:val="bg-BG"/>
        </w:rPr>
        <w:t xml:space="preserve"> </w:t>
      </w:r>
      <w:r w:rsidRPr="00D0477B">
        <w:rPr>
          <w:sz w:val="19"/>
          <w:szCs w:val="19"/>
        </w:rPr>
        <w:t>strains</w:t>
      </w:r>
      <w:r w:rsidRPr="00D0477B">
        <w:rPr>
          <w:sz w:val="19"/>
          <w:szCs w:val="19"/>
          <w:lang w:val="bg-BG"/>
        </w:rPr>
        <w:t xml:space="preserve"> </w:t>
      </w:r>
      <w:r w:rsidRPr="00D0477B">
        <w:rPr>
          <w:sz w:val="19"/>
          <w:szCs w:val="19"/>
        </w:rPr>
        <w:t>on</w:t>
      </w:r>
      <w:r w:rsidRPr="00D0477B">
        <w:rPr>
          <w:sz w:val="19"/>
          <w:szCs w:val="19"/>
          <w:lang w:val="bg-BG"/>
        </w:rPr>
        <w:t xml:space="preserve"> </w:t>
      </w:r>
      <w:r w:rsidRPr="00D0477B">
        <w:rPr>
          <w:sz w:val="19"/>
          <w:szCs w:val="19"/>
        </w:rPr>
        <w:t>phenol</w:t>
      </w:r>
      <w:r w:rsidRPr="00D0477B">
        <w:rPr>
          <w:sz w:val="19"/>
          <w:szCs w:val="19"/>
          <w:lang w:val="bg-BG"/>
        </w:rPr>
        <w:t xml:space="preserve"> </w:t>
      </w:r>
      <w:r w:rsidRPr="00D0477B">
        <w:rPr>
          <w:sz w:val="19"/>
          <w:szCs w:val="19"/>
        </w:rPr>
        <w:t>at</w:t>
      </w:r>
      <w:r w:rsidRPr="00D0477B">
        <w:rPr>
          <w:sz w:val="19"/>
          <w:szCs w:val="19"/>
          <w:lang w:val="bg-BG"/>
        </w:rPr>
        <w:t xml:space="preserve"> </w:t>
      </w:r>
      <w:r w:rsidRPr="00D0477B">
        <w:rPr>
          <w:sz w:val="19"/>
          <w:szCs w:val="19"/>
        </w:rPr>
        <w:t>low</w:t>
      </w:r>
      <w:r w:rsidRPr="00D0477B">
        <w:rPr>
          <w:sz w:val="19"/>
          <w:szCs w:val="19"/>
          <w:lang w:val="bg-BG"/>
        </w:rPr>
        <w:t xml:space="preserve"> </w:t>
      </w:r>
      <w:r w:rsidRPr="00D0477B">
        <w:rPr>
          <w:sz w:val="19"/>
          <w:szCs w:val="19"/>
        </w:rPr>
        <w:t xml:space="preserve">temperatures. J. </w:t>
      </w:r>
      <w:proofErr w:type="spellStart"/>
      <w:r w:rsidRPr="00D0477B">
        <w:rPr>
          <w:sz w:val="19"/>
          <w:szCs w:val="19"/>
        </w:rPr>
        <w:t>BioSci</w:t>
      </w:r>
      <w:proofErr w:type="spellEnd"/>
      <w:r w:rsidRPr="00D0477B">
        <w:rPr>
          <w:sz w:val="19"/>
          <w:szCs w:val="19"/>
        </w:rPr>
        <w:t xml:space="preserve"> </w:t>
      </w:r>
      <w:proofErr w:type="spellStart"/>
      <w:r w:rsidRPr="00D0477B">
        <w:rPr>
          <w:sz w:val="19"/>
          <w:szCs w:val="19"/>
        </w:rPr>
        <w:t>Biotechnol</w:t>
      </w:r>
      <w:proofErr w:type="spellEnd"/>
      <w:r w:rsidRPr="00D0477B">
        <w:rPr>
          <w:sz w:val="19"/>
          <w:szCs w:val="19"/>
        </w:rPr>
        <w:t>, SE/Online: 43-46.</w:t>
      </w:r>
    </w:p>
    <w:p w:rsidR="00A64C49" w:rsidRPr="00A64C49" w:rsidRDefault="00666A6E" w:rsidP="00A64C49">
      <w:pPr>
        <w:pStyle w:val="ListParagraph"/>
        <w:jc w:val="both"/>
        <w:rPr>
          <w:sz w:val="19"/>
          <w:szCs w:val="19"/>
        </w:rPr>
      </w:pPr>
      <w:r w:rsidRPr="00A64C49">
        <w:rPr>
          <w:b/>
          <w:bCs/>
          <w:sz w:val="19"/>
          <w:szCs w:val="19"/>
          <w:lang w:eastAsia="en-IN"/>
        </w:rPr>
        <w:t xml:space="preserve">Acknowledgments </w:t>
      </w:r>
      <w:r w:rsidRPr="00A64C49">
        <w:rPr>
          <w:sz w:val="19"/>
          <w:szCs w:val="19"/>
          <w:lang w:eastAsia="en-IN"/>
        </w:rPr>
        <w:t xml:space="preserve">This work was supported by the </w:t>
      </w:r>
      <w:r w:rsidR="00A64C49" w:rsidRPr="00A64C49">
        <w:rPr>
          <w:sz w:val="19"/>
          <w:szCs w:val="19"/>
        </w:rPr>
        <w:t>Project BG05M2OP001-1.002-0019: „Clean technologies for sustainable environment – water, waste, energy for circular economy“ (</w:t>
      </w:r>
      <w:proofErr w:type="spellStart"/>
      <w:r w:rsidR="00A64C49" w:rsidRPr="00A64C49">
        <w:rPr>
          <w:sz w:val="19"/>
          <w:szCs w:val="19"/>
        </w:rPr>
        <w:t>Clean&amp;Circle</w:t>
      </w:r>
      <w:proofErr w:type="spellEnd"/>
      <w:r w:rsidR="00A64C49" w:rsidRPr="00A64C49">
        <w:rPr>
          <w:sz w:val="19"/>
          <w:szCs w:val="19"/>
        </w:rPr>
        <w:t xml:space="preserve">), for development of a Centre of Competence, is financed by the Operational </w:t>
      </w:r>
      <w:proofErr w:type="spellStart"/>
      <w:r w:rsidR="00A64C49" w:rsidRPr="00A64C49">
        <w:rPr>
          <w:sz w:val="19"/>
          <w:szCs w:val="19"/>
        </w:rPr>
        <w:t>programme</w:t>
      </w:r>
      <w:proofErr w:type="spellEnd"/>
      <w:r w:rsidR="00A64C49" w:rsidRPr="00A64C49">
        <w:rPr>
          <w:sz w:val="19"/>
          <w:szCs w:val="19"/>
        </w:rPr>
        <w:t xml:space="preserve"> “Science and Education for Smart Growth”</w:t>
      </w:r>
      <w:r w:rsidR="00A64C49" w:rsidRPr="00A64C49">
        <w:rPr>
          <w:sz w:val="19"/>
          <w:szCs w:val="19"/>
          <w:lang w:val="en-GB"/>
        </w:rPr>
        <w:t>2014-2020</w:t>
      </w:r>
      <w:r w:rsidR="00A64C49" w:rsidRPr="00A64C49">
        <w:rPr>
          <w:sz w:val="19"/>
          <w:szCs w:val="19"/>
        </w:rPr>
        <w:t>, co-funded by the European union through the European structural and investment funds.</w:t>
      </w:r>
    </w:p>
    <w:p w:rsidR="00666A6E" w:rsidRPr="0005164C" w:rsidRDefault="00666A6E" w:rsidP="00FC645C">
      <w:pPr>
        <w:pStyle w:val="ListParagraph"/>
        <w:numPr>
          <w:ilvl w:val="0"/>
          <w:numId w:val="1"/>
        </w:numPr>
        <w:shd w:val="clear" w:color="auto" w:fill="FFFFFF"/>
        <w:spacing w:before="100" w:beforeAutospacing="1" w:after="120"/>
        <w:ind w:left="1418" w:hanging="424"/>
        <w:jc w:val="left"/>
        <w:rPr>
          <w:b/>
          <w:sz w:val="19"/>
          <w:szCs w:val="19"/>
        </w:rPr>
      </w:pPr>
      <w:r w:rsidRPr="0005164C">
        <w:rPr>
          <w:b/>
          <w:sz w:val="19"/>
          <w:szCs w:val="19"/>
          <w:lang w:val="en-IN" w:eastAsia="en-IN"/>
        </w:rPr>
        <w:t>Biography:</w:t>
      </w:r>
    </w:p>
    <w:p w:rsidR="00666A6E" w:rsidRPr="00B41F92" w:rsidRDefault="00666A6E" w:rsidP="00666A6E">
      <w:pPr>
        <w:ind w:left="709" w:firstLine="11"/>
        <w:jc w:val="both"/>
        <w:rPr>
          <w:iCs/>
          <w:sz w:val="19"/>
          <w:szCs w:val="19"/>
        </w:rPr>
      </w:pPr>
      <w:r w:rsidRPr="00B41F92">
        <w:rPr>
          <w:iCs/>
          <w:sz w:val="19"/>
          <w:szCs w:val="19"/>
        </w:rPr>
        <w:t xml:space="preserve">Zlatka Alexieva has graduated in the specialty of Biochemistry and Microbiology from University of Sofia and has completed her PhD from Institute of Molecular biology, Ukrainian Academy of Sciences at 1985. She has specialized in molecular biology in University of Baltimore, for one year. Zlatka Alexieva </w:t>
      </w:r>
      <w:r>
        <w:rPr>
          <w:iCs/>
          <w:sz w:val="19"/>
          <w:szCs w:val="19"/>
        </w:rPr>
        <w:t>was</w:t>
      </w:r>
      <w:r w:rsidRPr="00B41F92">
        <w:rPr>
          <w:iCs/>
          <w:sz w:val="19"/>
          <w:szCs w:val="19"/>
        </w:rPr>
        <w:t xml:space="preserve"> the head of Division of General Microbiology and Head of Dept. Microbial Genetics at the Institute of Microbiology, Bulgarian Academy of Sciences. </w:t>
      </w:r>
      <w:r>
        <w:rPr>
          <w:iCs/>
          <w:sz w:val="19"/>
          <w:szCs w:val="19"/>
        </w:rPr>
        <w:t>She has published more than 120</w:t>
      </w:r>
      <w:r w:rsidRPr="00B41F92">
        <w:rPr>
          <w:iCs/>
          <w:sz w:val="19"/>
          <w:szCs w:val="19"/>
        </w:rPr>
        <w:t xml:space="preserve"> scientific papers published in national and international journals and conference proceedings. The </w:t>
      </w:r>
      <w:r>
        <w:rPr>
          <w:iCs/>
          <w:sz w:val="19"/>
          <w:szCs w:val="19"/>
        </w:rPr>
        <w:t>list of citations includes more than 7</w:t>
      </w:r>
      <w:r w:rsidRPr="00B41F92">
        <w:rPr>
          <w:iCs/>
          <w:sz w:val="19"/>
          <w:szCs w:val="19"/>
        </w:rPr>
        <w:t xml:space="preserve">00 </w:t>
      </w:r>
      <w:r>
        <w:rPr>
          <w:iCs/>
          <w:sz w:val="19"/>
          <w:szCs w:val="19"/>
        </w:rPr>
        <w:t>citing publications</w:t>
      </w:r>
      <w:r w:rsidRPr="00B41F92">
        <w:rPr>
          <w:iCs/>
          <w:sz w:val="19"/>
          <w:szCs w:val="19"/>
        </w:rPr>
        <w:t>.</w:t>
      </w:r>
    </w:p>
    <w:p w:rsidR="00666A6E" w:rsidRPr="0005164C" w:rsidRDefault="00666A6E" w:rsidP="00666A6E">
      <w:pPr>
        <w:jc w:val="both"/>
        <w:rPr>
          <w:rFonts w:eastAsia="MS PGothic"/>
          <w:b/>
          <w:sz w:val="19"/>
          <w:szCs w:val="19"/>
        </w:rPr>
      </w:pPr>
    </w:p>
    <w:p w:rsidR="00666A6E" w:rsidRPr="00FC645C" w:rsidRDefault="00666A6E" w:rsidP="00FC645C">
      <w:pPr>
        <w:pStyle w:val="ListParagraph"/>
        <w:numPr>
          <w:ilvl w:val="0"/>
          <w:numId w:val="1"/>
        </w:numPr>
        <w:autoSpaceDE w:val="0"/>
        <w:autoSpaceDN w:val="0"/>
        <w:adjustRightInd w:val="0"/>
        <w:ind w:left="1418" w:hanging="424"/>
        <w:jc w:val="left"/>
        <w:rPr>
          <w:b/>
          <w:sz w:val="19"/>
          <w:szCs w:val="19"/>
          <w:lang w:val="en-NZ"/>
        </w:rPr>
      </w:pPr>
      <w:r w:rsidRPr="00FC645C">
        <w:rPr>
          <w:b/>
          <w:sz w:val="19"/>
          <w:szCs w:val="19"/>
          <w:lang w:val="en-NZ"/>
        </w:rPr>
        <w:t xml:space="preserve">Presenting author details </w:t>
      </w:r>
    </w:p>
    <w:p w:rsidR="00666A6E" w:rsidRPr="0005164C" w:rsidRDefault="00666A6E" w:rsidP="00666A6E">
      <w:pPr>
        <w:autoSpaceDE w:val="0"/>
        <w:autoSpaceDN w:val="0"/>
        <w:adjustRightInd w:val="0"/>
        <w:jc w:val="left"/>
        <w:rPr>
          <w:sz w:val="19"/>
          <w:szCs w:val="19"/>
          <w:lang w:val="en-NZ"/>
        </w:rPr>
      </w:pPr>
    </w:p>
    <w:p w:rsidR="00666A6E" w:rsidRPr="0005164C" w:rsidRDefault="00666A6E" w:rsidP="00666A6E">
      <w:pPr>
        <w:autoSpaceDE w:val="0"/>
        <w:autoSpaceDN w:val="0"/>
        <w:adjustRightInd w:val="0"/>
        <w:jc w:val="left"/>
        <w:rPr>
          <w:sz w:val="19"/>
          <w:szCs w:val="19"/>
          <w:lang w:val="en-NZ"/>
        </w:rPr>
      </w:pPr>
      <w:r>
        <w:rPr>
          <w:noProof/>
        </w:rPr>
        <w:drawing>
          <wp:inline distT="0" distB="0" distL="0" distR="0">
            <wp:extent cx="653668" cy="975815"/>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655583" cy="978674"/>
                    </a:xfrm>
                    <a:prstGeom prst="rect">
                      <a:avLst/>
                    </a:prstGeom>
                    <a:noFill/>
                  </pic:spPr>
                </pic:pic>
              </a:graphicData>
            </a:graphic>
          </wp:inline>
        </w:drawing>
      </w:r>
      <w:r w:rsidRPr="0005164C">
        <w:rPr>
          <w:sz w:val="19"/>
          <w:szCs w:val="19"/>
          <w:lang w:val="en-NZ"/>
        </w:rPr>
        <w:br/>
      </w:r>
    </w:p>
    <w:p w:rsidR="00666A6E" w:rsidRPr="0005164C" w:rsidRDefault="00666A6E" w:rsidP="00666A6E">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Zlatka Alexieva</w:t>
      </w:r>
    </w:p>
    <w:p w:rsidR="00666A6E" w:rsidRPr="0005164C" w:rsidRDefault="00666A6E" w:rsidP="00666A6E">
      <w:pPr>
        <w:autoSpaceDE w:val="0"/>
        <w:autoSpaceDN w:val="0"/>
        <w:adjustRightInd w:val="0"/>
        <w:jc w:val="left"/>
        <w:rPr>
          <w:sz w:val="19"/>
          <w:szCs w:val="19"/>
          <w:lang w:val="en-NZ"/>
        </w:rPr>
      </w:pPr>
      <w:r w:rsidRPr="0005164C">
        <w:rPr>
          <w:sz w:val="19"/>
          <w:szCs w:val="19"/>
          <w:lang w:val="en-NZ"/>
        </w:rPr>
        <w:t>Contact number:</w:t>
      </w:r>
      <w:r>
        <w:rPr>
          <w:sz w:val="19"/>
          <w:szCs w:val="19"/>
          <w:lang w:val="en-NZ"/>
        </w:rPr>
        <w:t xml:space="preserve"> +359 2 9793114</w:t>
      </w:r>
      <w:r w:rsidRPr="0005164C">
        <w:rPr>
          <w:sz w:val="19"/>
          <w:szCs w:val="19"/>
          <w:lang w:val="en-NZ"/>
        </w:rPr>
        <w:br/>
        <w:t>Session name:</w:t>
      </w:r>
      <w:r w:rsidRPr="00821AC8">
        <w:t xml:space="preserve"> </w:t>
      </w:r>
      <w:r>
        <w:t>Environmental Microbiology &amp; Microbial Ecology</w:t>
      </w:r>
      <w:r w:rsidRPr="0005164C">
        <w:rPr>
          <w:sz w:val="19"/>
          <w:szCs w:val="19"/>
          <w:lang w:val="en-NZ"/>
        </w:rPr>
        <w:br/>
        <w:t>Category: Poster presentation</w:t>
      </w:r>
    </w:p>
    <w:p w:rsidR="004650FC" w:rsidRDefault="004650FC"/>
    <w:sectPr w:rsidR="004650F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F64DB"/>
    <w:multiLevelType w:val="hybridMultilevel"/>
    <w:tmpl w:val="2036F964"/>
    <w:lvl w:ilvl="0" w:tplc="CB0659CA">
      <w:start w:val="1"/>
      <w:numFmt w:val="decimal"/>
      <w:lvlText w:val="%1."/>
      <w:lvlJc w:val="left"/>
      <w:pPr>
        <w:ind w:left="1354"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
    <w:nsid w:val="5D850AC4"/>
    <w:multiLevelType w:val="hybridMultilevel"/>
    <w:tmpl w:val="DA300C30"/>
    <w:lvl w:ilvl="0" w:tplc="07D240BE">
      <w:start w:val="1"/>
      <w:numFmt w:val="upperRoman"/>
      <w:lvlText w:val="%1."/>
      <w:lvlJc w:val="left"/>
      <w:pPr>
        <w:ind w:left="1714" w:hanging="720"/>
      </w:pPr>
      <w:rPr>
        <w:rFonts w:hint="default"/>
        <w:b/>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666A6E"/>
    <w:rsid w:val="000A1D56"/>
    <w:rsid w:val="00146A5A"/>
    <w:rsid w:val="00255482"/>
    <w:rsid w:val="00384CA1"/>
    <w:rsid w:val="00456B1E"/>
    <w:rsid w:val="004650FC"/>
    <w:rsid w:val="006027B9"/>
    <w:rsid w:val="00606D09"/>
    <w:rsid w:val="006317C7"/>
    <w:rsid w:val="00666A6E"/>
    <w:rsid w:val="0079480B"/>
    <w:rsid w:val="008070E9"/>
    <w:rsid w:val="008E23B8"/>
    <w:rsid w:val="009355CA"/>
    <w:rsid w:val="009879AD"/>
    <w:rsid w:val="00A64C49"/>
    <w:rsid w:val="00AA6B20"/>
    <w:rsid w:val="00BF5648"/>
    <w:rsid w:val="00C7504C"/>
    <w:rsid w:val="00D0477B"/>
    <w:rsid w:val="00D85B0F"/>
    <w:rsid w:val="00E03BF4"/>
    <w:rsid w:val="00E138DE"/>
    <w:rsid w:val="00E14D1C"/>
    <w:rsid w:val="00ED1B39"/>
    <w:rsid w:val="00FC64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A6E"/>
    <w:pPr>
      <w:spacing w:line="240" w:lineRule="auto"/>
      <w:jc w:val="center"/>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03BF4"/>
    <w:pPr>
      <w:keepNext/>
      <w:spacing w:before="240" w:after="60"/>
      <w:jc w:val="left"/>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66A6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666A6E"/>
    <w:rPr>
      <w:rFonts w:ascii="Times New Roman" w:eastAsia="MS Mincho" w:hAnsi="Times New Roman" w:cs="Times New Roman"/>
      <w:spacing w:val="-1"/>
      <w:sz w:val="20"/>
      <w:szCs w:val="20"/>
    </w:rPr>
  </w:style>
  <w:style w:type="paragraph" w:customStyle="1" w:styleId="keywords">
    <w:name w:val="key words"/>
    <w:uiPriority w:val="99"/>
    <w:rsid w:val="00666A6E"/>
    <w:pPr>
      <w:spacing w:after="120" w:line="240" w:lineRule="auto"/>
      <w:ind w:firstLine="274"/>
    </w:pPr>
    <w:rPr>
      <w:rFonts w:ascii="Times New Roman" w:eastAsia="Times New Roman" w:hAnsi="Times New Roman" w:cs="Times New Roman"/>
      <w:b/>
      <w:bCs/>
      <w:i/>
      <w:iCs/>
      <w:noProof/>
      <w:sz w:val="18"/>
      <w:szCs w:val="18"/>
    </w:rPr>
  </w:style>
  <w:style w:type="character" w:customStyle="1" w:styleId="tlid-translation">
    <w:name w:val="tlid-translation"/>
    <w:basedOn w:val="DefaultParagraphFont"/>
    <w:rsid w:val="00666A6E"/>
  </w:style>
  <w:style w:type="character" w:customStyle="1" w:styleId="alt-edited">
    <w:name w:val="alt-edited"/>
    <w:basedOn w:val="DefaultParagraphFont"/>
    <w:rsid w:val="00666A6E"/>
  </w:style>
  <w:style w:type="paragraph" w:styleId="ListParagraph">
    <w:name w:val="List Paragraph"/>
    <w:basedOn w:val="Normal"/>
    <w:uiPriority w:val="34"/>
    <w:qFormat/>
    <w:rsid w:val="00666A6E"/>
    <w:pPr>
      <w:ind w:left="720"/>
      <w:contextualSpacing/>
    </w:pPr>
  </w:style>
  <w:style w:type="paragraph" w:styleId="BalloonText">
    <w:name w:val="Balloon Text"/>
    <w:basedOn w:val="Normal"/>
    <w:link w:val="BalloonTextChar"/>
    <w:uiPriority w:val="99"/>
    <w:semiHidden/>
    <w:unhideWhenUsed/>
    <w:rsid w:val="00666A6E"/>
    <w:rPr>
      <w:rFonts w:ascii="Tahoma" w:hAnsi="Tahoma" w:cs="Tahoma"/>
      <w:sz w:val="16"/>
      <w:szCs w:val="16"/>
    </w:rPr>
  </w:style>
  <w:style w:type="character" w:customStyle="1" w:styleId="BalloonTextChar">
    <w:name w:val="Balloon Text Char"/>
    <w:basedOn w:val="DefaultParagraphFont"/>
    <w:link w:val="BalloonText"/>
    <w:uiPriority w:val="99"/>
    <w:semiHidden/>
    <w:rsid w:val="00666A6E"/>
    <w:rPr>
      <w:rFonts w:ascii="Tahoma" w:eastAsia="Times New Roman" w:hAnsi="Tahoma" w:cs="Tahoma"/>
      <w:sz w:val="16"/>
      <w:szCs w:val="16"/>
    </w:rPr>
  </w:style>
  <w:style w:type="character" w:customStyle="1" w:styleId="authorsname">
    <w:name w:val="authors__name"/>
    <w:basedOn w:val="DefaultParagraphFont"/>
    <w:rsid w:val="00E03BF4"/>
  </w:style>
  <w:style w:type="character" w:customStyle="1" w:styleId="Heading1Char">
    <w:name w:val="Heading 1 Char"/>
    <w:basedOn w:val="DefaultParagraphFont"/>
    <w:link w:val="Heading1"/>
    <w:rsid w:val="00E03BF4"/>
    <w:rPr>
      <w:rFonts w:ascii="Arial" w:eastAsia="Times New Roman"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G:\BIODEGRADAC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22768644773061911"/>
          <c:y val="6.7230971128608999E-2"/>
          <c:w val="0.7143867230010883"/>
          <c:h val="0.63259337416142325"/>
        </c:manualLayout>
      </c:layout>
      <c:scatterChart>
        <c:scatterStyle val="smoothMarker"/>
        <c:ser>
          <c:idx val="0"/>
          <c:order val="0"/>
          <c:tx>
            <c:strRef>
              <c:f>'дегр. БМ-феноли'!$S$214</c:f>
              <c:strCache>
                <c:ptCount val="1"/>
                <c:pt idx="0">
                  <c:v>23°C</c:v>
                </c:pt>
              </c:strCache>
            </c:strRef>
          </c:tx>
          <c:spPr>
            <a:ln>
              <a:solidFill>
                <a:srgbClr val="C00000"/>
              </a:solidFill>
            </a:ln>
          </c:spPr>
          <c:marker>
            <c:symbol val="square"/>
            <c:size val="5"/>
            <c:spPr>
              <a:solidFill>
                <a:srgbClr val="C00000"/>
              </a:solidFill>
              <a:ln>
                <a:solidFill>
                  <a:srgbClr val="C00000"/>
                </a:solidFill>
              </a:ln>
            </c:spPr>
          </c:marker>
          <c:xVal>
            <c:numRef>
              <c:f>'дегр. БМ-феноли'!$R$215:$R$222</c:f>
              <c:numCache>
                <c:formatCode>General</c:formatCode>
                <c:ptCount val="8"/>
                <c:pt idx="0">
                  <c:v>0</c:v>
                </c:pt>
                <c:pt idx="1">
                  <c:v>24</c:v>
                </c:pt>
                <c:pt idx="2">
                  <c:v>72</c:v>
                </c:pt>
                <c:pt idx="3">
                  <c:v>140</c:v>
                </c:pt>
                <c:pt idx="4">
                  <c:v>188</c:v>
                </c:pt>
                <c:pt idx="5">
                  <c:v>308</c:v>
                </c:pt>
                <c:pt idx="6">
                  <c:v>356</c:v>
                </c:pt>
                <c:pt idx="7">
                  <c:v>404</c:v>
                </c:pt>
              </c:numCache>
            </c:numRef>
          </c:xVal>
          <c:yVal>
            <c:numRef>
              <c:f>'дегр. БМ-феноли'!$S$215:$S$222</c:f>
              <c:numCache>
                <c:formatCode>General</c:formatCode>
                <c:ptCount val="8"/>
                <c:pt idx="0">
                  <c:v>0.32000000000000012</c:v>
                </c:pt>
                <c:pt idx="1">
                  <c:v>0.28700000000000014</c:v>
                </c:pt>
                <c:pt idx="2">
                  <c:v>0.21000000000000005</c:v>
                </c:pt>
                <c:pt idx="3">
                  <c:v>0.13100000000000001</c:v>
                </c:pt>
                <c:pt idx="4">
                  <c:v>0.11200000000000002</c:v>
                </c:pt>
                <c:pt idx="5">
                  <c:v>5.0000000000000017E-2</c:v>
                </c:pt>
                <c:pt idx="6">
                  <c:v>0</c:v>
                </c:pt>
              </c:numCache>
            </c:numRef>
          </c:yVal>
          <c:smooth val="1"/>
        </c:ser>
        <c:ser>
          <c:idx val="1"/>
          <c:order val="1"/>
          <c:tx>
            <c:strRef>
              <c:f>'дегр. БМ-феноли'!$T$214</c:f>
              <c:strCache>
                <c:ptCount val="1"/>
                <c:pt idx="0">
                  <c:v>10°C</c:v>
                </c:pt>
              </c:strCache>
            </c:strRef>
          </c:tx>
          <c:marker>
            <c:symbol val="square"/>
            <c:size val="5"/>
            <c:spPr>
              <a:noFill/>
            </c:spPr>
          </c:marker>
          <c:xVal>
            <c:numRef>
              <c:f>'дегр. БМ-феноли'!$R$215:$R$222</c:f>
              <c:numCache>
                <c:formatCode>General</c:formatCode>
                <c:ptCount val="8"/>
                <c:pt idx="0">
                  <c:v>0</c:v>
                </c:pt>
                <c:pt idx="1">
                  <c:v>24</c:v>
                </c:pt>
                <c:pt idx="2">
                  <c:v>72</c:v>
                </c:pt>
                <c:pt idx="3">
                  <c:v>140</c:v>
                </c:pt>
                <c:pt idx="4">
                  <c:v>188</c:v>
                </c:pt>
                <c:pt idx="5">
                  <c:v>308</c:v>
                </c:pt>
                <c:pt idx="6">
                  <c:v>356</c:v>
                </c:pt>
                <c:pt idx="7">
                  <c:v>404</c:v>
                </c:pt>
              </c:numCache>
            </c:numRef>
          </c:xVal>
          <c:yVal>
            <c:numRef>
              <c:f>'дегр. БМ-феноли'!$T$215:$T$222</c:f>
              <c:numCache>
                <c:formatCode>General</c:formatCode>
                <c:ptCount val="8"/>
                <c:pt idx="0">
                  <c:v>0.29000000000000009</c:v>
                </c:pt>
                <c:pt idx="1">
                  <c:v>0.28000000000000008</c:v>
                </c:pt>
                <c:pt idx="2">
                  <c:v>0.27600000000000002</c:v>
                </c:pt>
                <c:pt idx="3">
                  <c:v>0.252</c:v>
                </c:pt>
                <c:pt idx="4">
                  <c:v>0.18000000000000005</c:v>
                </c:pt>
                <c:pt idx="5">
                  <c:v>8.0000000000000029E-2</c:v>
                </c:pt>
                <c:pt idx="6">
                  <c:v>5.1000000000000004E-2</c:v>
                </c:pt>
                <c:pt idx="7">
                  <c:v>0</c:v>
                </c:pt>
              </c:numCache>
            </c:numRef>
          </c:yVal>
          <c:smooth val="1"/>
        </c:ser>
        <c:ser>
          <c:idx val="2"/>
          <c:order val="2"/>
          <c:tx>
            <c:strRef>
              <c:f>'дегр. БМ-феноли'!$U$214</c:f>
              <c:strCache>
                <c:ptCount val="1"/>
                <c:pt idx="0">
                  <c:v>23°C</c:v>
                </c:pt>
              </c:strCache>
            </c:strRef>
          </c:tx>
          <c:spPr>
            <a:ln>
              <a:solidFill>
                <a:srgbClr val="002060"/>
              </a:solidFill>
            </a:ln>
          </c:spPr>
          <c:marker>
            <c:symbol val="square"/>
            <c:size val="5"/>
            <c:spPr>
              <a:noFill/>
              <a:ln>
                <a:solidFill>
                  <a:srgbClr val="002060"/>
                </a:solidFill>
              </a:ln>
            </c:spPr>
          </c:marker>
          <c:xVal>
            <c:numRef>
              <c:f>'дегр. БМ-феноли'!$R$215:$R$222</c:f>
              <c:numCache>
                <c:formatCode>General</c:formatCode>
                <c:ptCount val="8"/>
                <c:pt idx="0">
                  <c:v>0</c:v>
                </c:pt>
                <c:pt idx="1">
                  <c:v>24</c:v>
                </c:pt>
                <c:pt idx="2">
                  <c:v>72</c:v>
                </c:pt>
                <c:pt idx="3">
                  <c:v>140</c:v>
                </c:pt>
                <c:pt idx="4">
                  <c:v>188</c:v>
                </c:pt>
                <c:pt idx="5">
                  <c:v>308</c:v>
                </c:pt>
                <c:pt idx="6">
                  <c:v>356</c:v>
                </c:pt>
                <c:pt idx="7">
                  <c:v>404</c:v>
                </c:pt>
              </c:numCache>
            </c:numRef>
          </c:xVal>
          <c:yVal>
            <c:numRef>
              <c:f>'дегр. БМ-феноли'!$U$215:$U$222</c:f>
              <c:numCache>
                <c:formatCode>General</c:formatCode>
                <c:ptCount val="8"/>
                <c:pt idx="0">
                  <c:v>0.2</c:v>
                </c:pt>
                <c:pt idx="1">
                  <c:v>0.18000000000000005</c:v>
                </c:pt>
                <c:pt idx="2">
                  <c:v>0.17</c:v>
                </c:pt>
                <c:pt idx="3">
                  <c:v>0.16000000000000003</c:v>
                </c:pt>
                <c:pt idx="4">
                  <c:v>0.13700000000000001</c:v>
                </c:pt>
                <c:pt idx="5">
                  <c:v>6.500000000000003E-2</c:v>
                </c:pt>
                <c:pt idx="6">
                  <c:v>3.0000000000000009E-2</c:v>
                </c:pt>
                <c:pt idx="7">
                  <c:v>0</c:v>
                </c:pt>
              </c:numCache>
            </c:numRef>
          </c:yVal>
          <c:smooth val="1"/>
        </c:ser>
        <c:ser>
          <c:idx val="3"/>
          <c:order val="3"/>
          <c:tx>
            <c:strRef>
              <c:f>'дегр. БМ-феноли'!$V$214</c:f>
              <c:strCache>
                <c:ptCount val="1"/>
                <c:pt idx="0">
                  <c:v>10°C</c:v>
                </c:pt>
              </c:strCache>
            </c:strRef>
          </c:tx>
          <c:spPr>
            <a:ln>
              <a:solidFill>
                <a:srgbClr val="002060"/>
              </a:solidFill>
            </a:ln>
          </c:spPr>
          <c:marker>
            <c:symbol val="square"/>
            <c:size val="5"/>
            <c:spPr>
              <a:solidFill>
                <a:srgbClr val="002060"/>
              </a:solidFill>
              <a:ln>
                <a:solidFill>
                  <a:srgbClr val="002060"/>
                </a:solidFill>
              </a:ln>
            </c:spPr>
          </c:marker>
          <c:xVal>
            <c:numRef>
              <c:f>'дегр. БМ-феноли'!$R$215:$R$222</c:f>
              <c:numCache>
                <c:formatCode>General</c:formatCode>
                <c:ptCount val="8"/>
                <c:pt idx="0">
                  <c:v>0</c:v>
                </c:pt>
                <c:pt idx="1">
                  <c:v>24</c:v>
                </c:pt>
                <c:pt idx="2">
                  <c:v>72</c:v>
                </c:pt>
                <c:pt idx="3">
                  <c:v>140</c:v>
                </c:pt>
                <c:pt idx="4">
                  <c:v>188</c:v>
                </c:pt>
                <c:pt idx="5">
                  <c:v>308</c:v>
                </c:pt>
                <c:pt idx="6">
                  <c:v>356</c:v>
                </c:pt>
                <c:pt idx="7">
                  <c:v>404</c:v>
                </c:pt>
              </c:numCache>
            </c:numRef>
          </c:xVal>
          <c:yVal>
            <c:numRef>
              <c:f>'дегр. БМ-феноли'!$V$215:$V$222</c:f>
              <c:numCache>
                <c:formatCode>General</c:formatCode>
                <c:ptCount val="8"/>
                <c:pt idx="0">
                  <c:v>0.2</c:v>
                </c:pt>
                <c:pt idx="1">
                  <c:v>0.2</c:v>
                </c:pt>
                <c:pt idx="2">
                  <c:v>0.19000000000000003</c:v>
                </c:pt>
                <c:pt idx="3">
                  <c:v>0.17900000000000005</c:v>
                </c:pt>
                <c:pt idx="4">
                  <c:v>0.16500000000000004</c:v>
                </c:pt>
                <c:pt idx="5">
                  <c:v>0.12100000000000002</c:v>
                </c:pt>
                <c:pt idx="6">
                  <c:v>7.0000000000000021E-2</c:v>
                </c:pt>
                <c:pt idx="7">
                  <c:v>4.0000000000000015E-2</c:v>
                </c:pt>
              </c:numCache>
            </c:numRef>
          </c:yVal>
          <c:smooth val="1"/>
        </c:ser>
        <c:axId val="91191168"/>
        <c:axId val="91197824"/>
      </c:scatterChart>
      <c:valAx>
        <c:axId val="91191168"/>
        <c:scaling>
          <c:orientation val="minMax"/>
          <c:max val="430"/>
          <c:min val="0"/>
        </c:scaling>
        <c:axPos val="b"/>
        <c:title>
          <c:tx>
            <c:rich>
              <a:bodyPr/>
              <a:lstStyle/>
              <a:p>
                <a:pPr>
                  <a:defRPr sz="1000"/>
                </a:pPr>
                <a:r>
                  <a:rPr lang="en-US" sz="1000"/>
                  <a:t>time h</a:t>
                </a:r>
              </a:p>
            </c:rich>
          </c:tx>
          <c:layout>
            <c:manualLayout>
              <c:xMode val="edge"/>
              <c:yMode val="edge"/>
              <c:x val="0.48165954570585806"/>
              <c:y val="0.82390765764265528"/>
            </c:manualLayout>
          </c:layout>
        </c:title>
        <c:numFmt formatCode="General" sourceLinked="1"/>
        <c:tickLblPos val="nextTo"/>
        <c:spPr>
          <a:ln w="15875">
            <a:solidFill>
              <a:schemeClr val="tx1"/>
            </a:solidFill>
          </a:ln>
        </c:spPr>
        <c:txPr>
          <a:bodyPr/>
          <a:lstStyle/>
          <a:p>
            <a:pPr>
              <a:defRPr sz="1000" b="1"/>
            </a:pPr>
            <a:endParaRPr lang="en-US"/>
          </a:p>
        </c:txPr>
        <c:crossAx val="91197824"/>
        <c:crosses val="autoZero"/>
        <c:crossBetween val="midCat"/>
        <c:majorUnit val="100"/>
      </c:valAx>
      <c:valAx>
        <c:axId val="91197824"/>
        <c:scaling>
          <c:orientation val="minMax"/>
        </c:scaling>
        <c:axPos val="l"/>
        <c:title>
          <c:tx>
            <c:rich>
              <a:bodyPr rot="-5400000" vert="horz"/>
              <a:lstStyle/>
              <a:p>
                <a:pPr>
                  <a:defRPr sz="1000"/>
                </a:pPr>
                <a:r>
                  <a:rPr lang="en-US" sz="1000"/>
                  <a:t>concentration g/l</a:t>
                </a:r>
              </a:p>
            </c:rich>
          </c:tx>
        </c:title>
        <c:numFmt formatCode="General" sourceLinked="1"/>
        <c:tickLblPos val="nextTo"/>
        <c:spPr>
          <a:ln w="15875">
            <a:solidFill>
              <a:schemeClr val="tx1"/>
            </a:solidFill>
          </a:ln>
        </c:spPr>
        <c:txPr>
          <a:bodyPr/>
          <a:lstStyle/>
          <a:p>
            <a:pPr>
              <a:defRPr sz="1000" b="1"/>
            </a:pPr>
            <a:endParaRPr lang="en-US"/>
          </a:p>
        </c:txPr>
        <c:crossAx val="91191168"/>
        <c:crosses val="autoZero"/>
        <c:crossBetween val="midCat"/>
      </c:valAx>
    </c:plotArea>
    <c:legend>
      <c:legendPos val="b"/>
      <c:legendEntry>
        <c:idx val="0"/>
        <c:txPr>
          <a:bodyPr/>
          <a:lstStyle/>
          <a:p>
            <a:pPr>
              <a:defRPr sz="1000" b="1"/>
            </a:pPr>
            <a:endParaRPr lang="en-US"/>
          </a:p>
        </c:txPr>
      </c:legendEntry>
      <c:legendEntry>
        <c:idx val="3"/>
        <c:txPr>
          <a:bodyPr/>
          <a:lstStyle/>
          <a:p>
            <a:pPr>
              <a:defRPr sz="1000" b="1"/>
            </a:pPr>
            <a:endParaRPr lang="en-US"/>
          </a:p>
        </c:txPr>
      </c:legendEntry>
      <c:legendEntry>
        <c:idx val="1"/>
        <c:txPr>
          <a:bodyPr/>
          <a:lstStyle/>
          <a:p>
            <a:pPr>
              <a:defRPr sz="1000" b="1"/>
            </a:pPr>
            <a:endParaRPr lang="en-US"/>
          </a:p>
        </c:txPr>
      </c:legendEntry>
      <c:legendEntry>
        <c:idx val="2"/>
        <c:txPr>
          <a:bodyPr/>
          <a:lstStyle/>
          <a:p>
            <a:pPr>
              <a:defRPr sz="1000" b="1"/>
            </a:pPr>
            <a:endParaRPr lang="en-US"/>
          </a:p>
        </c:txPr>
      </c:legendEntry>
      <c:layout>
        <c:manualLayout>
          <c:xMode val="edge"/>
          <c:yMode val="edge"/>
          <c:x val="5.9190815697376525E-2"/>
          <c:y val="0.91669408818672049"/>
          <c:w val="0.89999971053004868"/>
          <c:h val="8.3305911813279648E-2"/>
        </c:manualLayout>
      </c:layout>
      <c:txPr>
        <a:bodyPr/>
        <a:lstStyle/>
        <a:p>
          <a:pPr>
            <a:defRPr sz="1000"/>
          </a:pPr>
          <a:endParaRPr lang="en-US"/>
        </a:p>
      </c:txPr>
    </c:legend>
    <c:plotVisOnly val="1"/>
  </c:chart>
  <c:spPr>
    <a:ln>
      <a:noFill/>
    </a:ln>
  </c:spPr>
  <c:txPr>
    <a:bodyPr/>
    <a:lstStyle/>
    <a:p>
      <a:pPr>
        <a:defRPr>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IM-BAS Sofia</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Zlatka Alexieva</dc:creator>
  <cp:lastModifiedBy>Zlatka Alexieva</cp:lastModifiedBy>
  <cp:revision>12</cp:revision>
  <dcterms:created xsi:type="dcterms:W3CDTF">2019-01-23T11:19:00Z</dcterms:created>
  <dcterms:modified xsi:type="dcterms:W3CDTF">2019-01-24T08:49:00Z</dcterms:modified>
</cp:coreProperties>
</file>