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1A69A0" w:rsidP="00494130">
      <w:pPr>
        <w:pStyle w:val="1"/>
        <w:spacing w:before="170"/>
        <w:ind w:left="0"/>
      </w:pPr>
      <w:r w:rsidRPr="001A69A0">
        <w:rPr>
          <w:rFonts w:hint="eastAsia"/>
          <w:color w:val="337AB7"/>
        </w:rPr>
        <w:t>Protein stability</w:t>
      </w:r>
      <w:r w:rsidRPr="001A69A0">
        <w:rPr>
          <w:color w:val="337AB7"/>
        </w:rPr>
        <w:t xml:space="preserve"> and subunit assembly </w:t>
      </w:r>
      <w:r w:rsidRPr="001A69A0">
        <w:rPr>
          <w:rFonts w:hint="eastAsia"/>
          <w:color w:val="337AB7"/>
        </w:rPr>
        <w:t xml:space="preserve">of </w:t>
      </w:r>
      <w:r w:rsidRPr="001A69A0">
        <w:rPr>
          <w:color w:val="337AB7"/>
        </w:rPr>
        <w:t xml:space="preserve">nylon hydrolase: structural basis discriminating correct subunit assembly, aggregation, and intracellular degradation of precursor protein </w:t>
      </w:r>
    </w:p>
    <w:p w:rsidR="00AE3E37" w:rsidRPr="00A84AF4" w:rsidRDefault="00A84AF4" w:rsidP="00A84AF4">
      <w:pPr>
        <w:pStyle w:val="a3"/>
        <w:spacing w:before="73" w:line="198" w:lineRule="exact"/>
        <w:ind w:left="100" w:right="5987"/>
        <w:rPr>
          <w:rFonts w:ascii="Arial" w:hAnsi="Arial" w:cs="Arial"/>
        </w:rPr>
        <w:sectPr w:rsidR="00AE3E37" w:rsidRPr="00A84AF4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>
        <w:rPr>
          <w:rFonts w:ascii="Arial"/>
          <w:b/>
          <w:noProof/>
          <w:color w:val="BF5A14"/>
          <w:sz w:val="20"/>
          <w:lang w:eastAsia="ja-JP"/>
        </w:rPr>
        <w:drawing>
          <wp:anchor distT="0" distB="0" distL="114300" distR="114300" simplePos="0" relativeHeight="251658240" behindDoc="0" locked="0" layoutInCell="1" allowOverlap="1" wp14:anchorId="741C6FDE" wp14:editId="01FC9B00">
            <wp:simplePos x="0" y="0"/>
            <wp:positionH relativeFrom="column">
              <wp:posOffset>3597910</wp:posOffset>
            </wp:positionH>
            <wp:positionV relativeFrom="paragraph">
              <wp:posOffset>133350</wp:posOffset>
            </wp:positionV>
            <wp:extent cx="2994660" cy="2258695"/>
            <wp:effectExtent l="0" t="0" r="0" b="8255"/>
            <wp:wrapSquare wrapText="bothSides"/>
            <wp:docPr id="58" name="図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Fig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4660" cy="2258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9A0" w:rsidRPr="001A69A0">
        <w:rPr>
          <w:rFonts w:ascii="Arial" w:hAnsi="Arial" w:cs="Arial"/>
        </w:rPr>
        <w:t>Seiji Negoro PhD, Department of Applied Chemistry, University of Hyogo, Japan</w:t>
      </w:r>
      <w:r w:rsidR="001A69A0">
        <w:rPr>
          <w:rFonts w:ascii="Arial"/>
          <w:sz w:val="20"/>
        </w:rPr>
        <w:tab/>
      </w:r>
    </w:p>
    <w:p w:rsidR="00AE3E37" w:rsidRDefault="00A9710C" w:rsidP="001A69A0">
      <w:pPr>
        <w:pStyle w:val="3"/>
        <w:spacing w:before="147"/>
        <w:ind w:left="0"/>
        <w:jc w:val="both"/>
      </w:pPr>
      <w:r>
        <w:rPr>
          <w:color w:val="BF5A14"/>
        </w:rPr>
        <w:t>Abstract</w:t>
      </w:r>
    </w:p>
    <w:p w:rsidR="008D0BD2" w:rsidRPr="00383AAA" w:rsidRDefault="008D0BD2" w:rsidP="008C3E49">
      <w:pPr>
        <w:snapToGrid w:val="0"/>
        <w:jc w:val="both"/>
        <w:rPr>
          <w:sz w:val="18"/>
          <w:szCs w:val="18"/>
        </w:rPr>
      </w:pPr>
      <w:r w:rsidRPr="008D0BD2">
        <w:rPr>
          <w:sz w:val="18"/>
          <w:szCs w:val="18"/>
        </w:rPr>
        <w:t xml:space="preserve">Protein-protein interactions leading to correct </w:t>
      </w:r>
      <w:r w:rsidRPr="008D0BD2">
        <w:rPr>
          <w:rFonts w:hint="eastAsia"/>
          <w:sz w:val="18"/>
          <w:szCs w:val="18"/>
        </w:rPr>
        <w:t>s</w:t>
      </w:r>
      <w:r w:rsidRPr="008D0BD2">
        <w:rPr>
          <w:sz w:val="18"/>
          <w:szCs w:val="18"/>
        </w:rPr>
        <w:t>ubunit assembly play important roles in protein stability and/or various biological functions, which could include the following: i) regulation of enzyme activities by the allosteric effect, ii) generation of an active center by utilizing several catalytic</w:t>
      </w:r>
      <w:r w:rsidRPr="008D0BD2">
        <w:rPr>
          <w:rFonts w:hint="eastAsia"/>
          <w:sz w:val="18"/>
          <w:szCs w:val="18"/>
        </w:rPr>
        <w:t>/substrate-binding</w:t>
      </w:r>
      <w:r w:rsidRPr="008D0BD2">
        <w:rPr>
          <w:sz w:val="18"/>
          <w:szCs w:val="18"/>
        </w:rPr>
        <w:t xml:space="preserve"> residues located in different subunits, and iii) </w:t>
      </w:r>
      <w:r w:rsidRPr="008D0BD2">
        <w:rPr>
          <w:rFonts w:hint="eastAsia"/>
          <w:sz w:val="18"/>
          <w:szCs w:val="18"/>
        </w:rPr>
        <w:t xml:space="preserve">generation of </w:t>
      </w:r>
      <w:r w:rsidRPr="008D0BD2">
        <w:rPr>
          <w:sz w:val="18"/>
          <w:szCs w:val="18"/>
        </w:rPr>
        <w:t xml:space="preserve">a multifunctional enzyme by integrating several functions initially compartmentalized in different enzyme subunits into a single oligomeric enzyme. In addition, the stability of a monomeric protein is generally improved by the oligomerization of the protein. </w:t>
      </w:r>
      <w:r w:rsidRPr="008D0BD2">
        <w:rPr>
          <w:rFonts w:hint="eastAsia"/>
          <w:iCs/>
          <w:sz w:val="18"/>
          <w:szCs w:val="18"/>
        </w:rPr>
        <w:t>Nylon hydrolase (N</w:t>
      </w:r>
      <w:r w:rsidRPr="008D0BD2">
        <w:rPr>
          <w:iCs/>
          <w:sz w:val="18"/>
          <w:szCs w:val="18"/>
        </w:rPr>
        <w:t>ylC</w:t>
      </w:r>
      <w:r w:rsidRPr="008D0BD2">
        <w:rPr>
          <w:rFonts w:hint="eastAsia"/>
          <w:iCs/>
          <w:sz w:val="18"/>
          <w:szCs w:val="18"/>
        </w:rPr>
        <w:t>)</w:t>
      </w:r>
      <w:r w:rsidRPr="008D0BD2">
        <w:rPr>
          <w:sz w:val="18"/>
          <w:szCs w:val="18"/>
        </w:rPr>
        <w:t xml:space="preserve"> is </w:t>
      </w:r>
      <w:r w:rsidRPr="008D0BD2">
        <w:rPr>
          <w:iCs/>
          <w:sz w:val="18"/>
          <w:szCs w:val="18"/>
        </w:rPr>
        <w:t xml:space="preserve">one of the three enzymes </w:t>
      </w:r>
      <w:r w:rsidR="00B23D96">
        <w:rPr>
          <w:iCs/>
          <w:sz w:val="18"/>
          <w:szCs w:val="18"/>
        </w:rPr>
        <w:t xml:space="preserve">(NylABC) </w:t>
      </w:r>
      <w:r w:rsidRPr="008D0BD2">
        <w:rPr>
          <w:iCs/>
          <w:sz w:val="18"/>
          <w:szCs w:val="18"/>
        </w:rPr>
        <w:t>responsible for the degradation of the by-products of nylon-6 manufacture</w:t>
      </w:r>
      <w:r w:rsidRPr="008D0BD2">
        <w:rPr>
          <w:rFonts w:eastAsia="WarnockPro-Regular"/>
          <w:sz w:val="18"/>
          <w:szCs w:val="18"/>
          <w:lang w:eastAsia="en-GB"/>
        </w:rPr>
        <w:t xml:space="preserve"> (cyclic and linear oligomers</w:t>
      </w:r>
      <w:r w:rsidRPr="008D0BD2">
        <w:rPr>
          <w:rFonts w:eastAsia="WarnockPro-Regular"/>
          <w:sz w:val="18"/>
          <w:szCs w:val="18"/>
        </w:rPr>
        <w:t xml:space="preserve"> of 6-aminohexanoate (Ahx) </w:t>
      </w:r>
      <w:r w:rsidRPr="008D0BD2">
        <w:rPr>
          <w:rFonts w:eastAsia="WarnockPro-Regular"/>
          <w:sz w:val="18"/>
          <w:szCs w:val="18"/>
          <w:lang w:eastAsia="en-GB"/>
        </w:rPr>
        <w:t>with a degree of polymerization greater than three</w:t>
      </w:r>
      <w:r w:rsidRPr="008D0BD2">
        <w:rPr>
          <w:iCs/>
          <w:sz w:val="18"/>
          <w:szCs w:val="18"/>
        </w:rPr>
        <w:t>)</w:t>
      </w:r>
      <w:r w:rsidRPr="008D0BD2">
        <w:rPr>
          <w:rFonts w:eastAsia="WarnockPro-Regular"/>
          <w:sz w:val="18"/>
          <w:szCs w:val="18"/>
          <w:lang w:eastAsia="en-GB"/>
        </w:rPr>
        <w:t xml:space="preserve"> </w:t>
      </w:r>
      <w:r w:rsidRPr="008D0BD2">
        <w:rPr>
          <w:iCs/>
          <w:sz w:val="18"/>
          <w:szCs w:val="18"/>
        </w:rPr>
        <w:t>and various aliphatic nylons (nylon-6, nylon-66, etc.)</w:t>
      </w:r>
      <w:r w:rsidR="00B23D96">
        <w:rPr>
          <w:iCs/>
          <w:sz w:val="18"/>
          <w:szCs w:val="18"/>
        </w:rPr>
        <w:t xml:space="preserve"> (Fig. 1)</w:t>
      </w:r>
      <w:r w:rsidR="00383AAA">
        <w:rPr>
          <w:iCs/>
          <w:sz w:val="18"/>
          <w:szCs w:val="18"/>
        </w:rPr>
        <w:t xml:space="preserve"> (1-8)</w:t>
      </w:r>
      <w:r w:rsidRPr="008D0BD2">
        <w:rPr>
          <w:rFonts w:eastAsia="WarnockPro-Regular"/>
          <w:sz w:val="18"/>
          <w:szCs w:val="18"/>
          <w:lang w:eastAsia="en-GB"/>
        </w:rPr>
        <w:t xml:space="preserve">. </w:t>
      </w:r>
      <w:r w:rsidRPr="008D0BD2">
        <w:rPr>
          <w:sz w:val="18"/>
          <w:szCs w:val="18"/>
        </w:rPr>
        <w:t>NylC is initially expressed as an inactive precursor (36 kD</w:t>
      </w:r>
      <w:r w:rsidRPr="008D0BD2">
        <w:rPr>
          <w:rFonts w:hint="eastAsia"/>
          <w:sz w:val="18"/>
          <w:szCs w:val="18"/>
        </w:rPr>
        <w:t>a</w:t>
      </w:r>
      <w:r w:rsidRPr="008D0BD2">
        <w:rPr>
          <w:sz w:val="18"/>
          <w:szCs w:val="18"/>
        </w:rPr>
        <w:t>). However, the precursor is cleaved auto</w:t>
      </w:r>
      <w:r w:rsidR="00B23D96">
        <w:rPr>
          <w:sz w:val="18"/>
          <w:szCs w:val="18"/>
        </w:rPr>
        <w:t>-</w:t>
      </w:r>
      <w:r w:rsidRPr="008D0BD2">
        <w:rPr>
          <w:sz w:val="18"/>
          <w:szCs w:val="18"/>
        </w:rPr>
        <w:t xml:space="preserve">catalytically at Asn266/Thr267 to generate an active enzyme composed of </w:t>
      </w:r>
      <w:r w:rsidRPr="008D0BD2">
        <w:rPr>
          <w:rFonts w:ascii="Symbol" w:hAnsi="Symbol"/>
          <w:sz w:val="18"/>
          <w:szCs w:val="18"/>
        </w:rPr>
        <w:t></w:t>
      </w:r>
      <w:r w:rsidRPr="008D0BD2">
        <w:rPr>
          <w:sz w:val="18"/>
          <w:szCs w:val="18"/>
        </w:rPr>
        <w:t xml:space="preserve"> (27 kDa) and </w:t>
      </w:r>
      <w:r w:rsidRPr="008D0BD2">
        <w:rPr>
          <w:rFonts w:ascii="Symbol" w:hAnsi="Symbol"/>
          <w:sz w:val="18"/>
          <w:szCs w:val="18"/>
        </w:rPr>
        <w:t></w:t>
      </w:r>
      <w:r w:rsidRPr="008D0BD2">
        <w:rPr>
          <w:sz w:val="18"/>
          <w:szCs w:val="18"/>
        </w:rPr>
        <w:t xml:space="preserve"> (9 kDa) subunits. Four </w:t>
      </w:r>
      <w:r w:rsidRPr="008D0BD2">
        <w:rPr>
          <w:rFonts w:ascii="Symbol" w:hAnsi="Symbol"/>
          <w:sz w:val="18"/>
          <w:szCs w:val="18"/>
        </w:rPr>
        <w:t></w:t>
      </w:r>
      <w:r w:rsidRPr="008D0BD2">
        <w:rPr>
          <w:rFonts w:ascii="Symbol" w:hAnsi="Symbol"/>
          <w:sz w:val="18"/>
          <w:szCs w:val="18"/>
        </w:rPr>
        <w:t></w:t>
      </w:r>
      <w:r w:rsidRPr="008D0BD2">
        <w:rPr>
          <w:sz w:val="18"/>
          <w:szCs w:val="18"/>
        </w:rPr>
        <w:t xml:space="preserve"> heterodimers (molecules A-D) form a doughnut-shaped </w:t>
      </w:r>
      <w:r w:rsidRPr="008D0BD2">
        <w:rPr>
          <w:bCs/>
          <w:sz w:val="18"/>
          <w:szCs w:val="18"/>
        </w:rPr>
        <w:t>quaternary</w:t>
      </w:r>
      <w:r w:rsidR="00383AAA">
        <w:rPr>
          <w:sz w:val="18"/>
          <w:szCs w:val="18"/>
        </w:rPr>
        <w:t xml:space="preserve"> structure</w:t>
      </w:r>
      <w:r w:rsidR="00383AAA" w:rsidRPr="00383AAA">
        <w:rPr>
          <w:sz w:val="18"/>
          <w:szCs w:val="18"/>
        </w:rPr>
        <w:t xml:space="preserve"> </w:t>
      </w:r>
      <w:r w:rsidR="00383AAA">
        <w:rPr>
          <w:sz w:val="18"/>
          <w:szCs w:val="18"/>
        </w:rPr>
        <w:t>(Fig. 2).</w:t>
      </w:r>
      <w:r w:rsidRPr="008D0BD2">
        <w:rPr>
          <w:sz w:val="18"/>
          <w:szCs w:val="18"/>
        </w:rPr>
        <w:t xml:space="preserve"> In this study, the t</w:t>
      </w:r>
      <w:r w:rsidRPr="008D0BD2">
        <w:rPr>
          <w:rFonts w:eastAsia="WarnockPro-Semibold"/>
          <w:sz w:val="18"/>
          <w:szCs w:val="18"/>
          <w:lang w:eastAsia="en-GB"/>
        </w:rPr>
        <w:t xml:space="preserve">hermostability of the parental NylC was altered by amino acid substitutions located at the </w:t>
      </w:r>
      <w:r w:rsidRPr="008D0BD2">
        <w:rPr>
          <w:rFonts w:eastAsia="WarnockPro-Regular"/>
          <w:sz w:val="18"/>
          <w:szCs w:val="18"/>
        </w:rPr>
        <w:t>A/D</w:t>
      </w:r>
      <w:r w:rsidRPr="008D0BD2">
        <w:rPr>
          <w:rFonts w:eastAsia="WarnockPro-Semibold"/>
          <w:sz w:val="18"/>
          <w:szCs w:val="18"/>
          <w:lang w:eastAsia="en-GB"/>
        </w:rPr>
        <w:t xml:space="preserve"> </w:t>
      </w:r>
      <w:r w:rsidRPr="008D0BD2">
        <w:rPr>
          <w:rFonts w:eastAsia="WarnockPro-Regular"/>
          <w:sz w:val="18"/>
          <w:szCs w:val="18"/>
        </w:rPr>
        <w:t>interface (</w:t>
      </w:r>
      <w:r w:rsidRPr="008D0BD2">
        <w:rPr>
          <w:rFonts w:eastAsia="WarnockPro-Regular"/>
          <w:sz w:val="18"/>
          <w:szCs w:val="18"/>
          <w:lang w:eastAsia="en-GB"/>
        </w:rPr>
        <w:t>D122G/H130Y</w:t>
      </w:r>
      <w:r w:rsidRPr="008D0BD2">
        <w:rPr>
          <w:rFonts w:eastAsia="WarnockPro-Regular"/>
          <w:sz w:val="18"/>
          <w:szCs w:val="18"/>
        </w:rPr>
        <w:t>/</w:t>
      </w:r>
      <w:r w:rsidRPr="008D0BD2">
        <w:rPr>
          <w:rFonts w:eastAsia="WarnockPro-Regular"/>
          <w:sz w:val="18"/>
          <w:szCs w:val="18"/>
          <w:lang w:eastAsia="en-GB"/>
        </w:rPr>
        <w:t>D36A/L137A</w:t>
      </w:r>
      <w:r w:rsidRPr="008D0BD2">
        <w:rPr>
          <w:rFonts w:eastAsia="WarnockPro-Regular"/>
          <w:sz w:val="18"/>
          <w:szCs w:val="18"/>
        </w:rPr>
        <w:t>) or the A/B interface (</w:t>
      </w:r>
      <w:r w:rsidRPr="008D0BD2">
        <w:rPr>
          <w:rFonts w:eastAsia="WarnockPro-Regular"/>
          <w:sz w:val="18"/>
          <w:szCs w:val="18"/>
          <w:lang w:eastAsia="en-GB"/>
        </w:rPr>
        <w:t>E263Q</w:t>
      </w:r>
      <w:r w:rsidRPr="008D0BD2">
        <w:rPr>
          <w:rFonts w:eastAsia="WarnockPro-Regular"/>
          <w:sz w:val="18"/>
          <w:szCs w:val="18"/>
        </w:rPr>
        <w:t>)</w:t>
      </w:r>
      <w:r w:rsidRPr="008D0BD2">
        <w:rPr>
          <w:rFonts w:eastAsia="WarnockPro-Semibold"/>
          <w:sz w:val="18"/>
          <w:szCs w:val="18"/>
          <w:lang w:eastAsia="en-GB"/>
        </w:rPr>
        <w:t xml:space="preserve"> and spanned a range of 47 °C</w:t>
      </w:r>
      <w:r w:rsidR="00383AAA">
        <w:rPr>
          <w:rFonts w:eastAsia="WarnockPro-Semibold"/>
          <w:sz w:val="18"/>
          <w:szCs w:val="18"/>
          <w:lang w:eastAsia="en-GB"/>
        </w:rPr>
        <w:t xml:space="preserve"> (</w:t>
      </w:r>
      <w:r w:rsidR="00BA5204">
        <w:rPr>
          <w:rFonts w:eastAsia="WarnockPro-Semibold"/>
          <w:sz w:val="18"/>
          <w:szCs w:val="18"/>
          <w:lang w:eastAsia="en-GB"/>
        </w:rPr>
        <w:t>5,6</w:t>
      </w:r>
      <w:r w:rsidR="00383AAA">
        <w:rPr>
          <w:rFonts w:eastAsia="WarnockPro-Semibold"/>
          <w:sz w:val="18"/>
          <w:szCs w:val="18"/>
          <w:lang w:eastAsia="en-GB"/>
        </w:rPr>
        <w:t>)</w:t>
      </w:r>
      <w:r w:rsidRPr="008D0BD2">
        <w:rPr>
          <w:rFonts w:eastAsia="WarnockPro-Regular"/>
          <w:sz w:val="18"/>
          <w:szCs w:val="18"/>
        </w:rPr>
        <w:t xml:space="preserve">. </w:t>
      </w:r>
      <w:r w:rsidR="00351983" w:rsidRPr="008D0BD2">
        <w:rPr>
          <w:rFonts w:eastAsia="WarnockPro-Regular"/>
          <w:sz w:val="18"/>
          <w:szCs w:val="18"/>
        </w:rPr>
        <w:t xml:space="preserve">From the analytical centrifugation data of the various mutant enzymes, </w:t>
      </w:r>
      <w:r w:rsidR="00351983" w:rsidRPr="008D0BD2">
        <w:rPr>
          <w:sz w:val="18"/>
          <w:szCs w:val="18"/>
        </w:rPr>
        <w:t xml:space="preserve">we conclude that the assembly of the monomeric units is dynamically altered </w:t>
      </w:r>
      <w:r w:rsidR="00351983" w:rsidRPr="008D0BD2">
        <w:rPr>
          <w:rFonts w:hint="eastAsia"/>
          <w:sz w:val="18"/>
          <w:szCs w:val="18"/>
        </w:rPr>
        <w:t>by</w:t>
      </w:r>
      <w:r w:rsidR="00351983" w:rsidRPr="008D0BD2">
        <w:rPr>
          <w:sz w:val="18"/>
          <w:szCs w:val="18"/>
        </w:rPr>
        <w:t xml:space="preserve"> the</w:t>
      </w:r>
      <w:r w:rsidR="00351983" w:rsidRPr="008D0BD2">
        <w:rPr>
          <w:rFonts w:hint="eastAsia"/>
          <w:sz w:val="18"/>
          <w:szCs w:val="18"/>
        </w:rPr>
        <w:t xml:space="preserve"> mutations</w:t>
      </w:r>
      <w:r w:rsidR="00351983" w:rsidRPr="008D0BD2">
        <w:rPr>
          <w:sz w:val="18"/>
          <w:szCs w:val="18"/>
        </w:rPr>
        <w:t>.</w:t>
      </w:r>
      <w:r w:rsidR="00351983">
        <w:rPr>
          <w:rFonts w:eastAsiaTheme="minorEastAsia" w:hint="eastAsia"/>
          <w:sz w:val="18"/>
          <w:szCs w:val="18"/>
          <w:lang w:eastAsia="ja-JP"/>
        </w:rPr>
        <w:t xml:space="preserve"> </w:t>
      </w:r>
      <w:r w:rsidRPr="008D0BD2">
        <w:rPr>
          <w:rFonts w:eastAsia="WarnockPro-Semibold"/>
          <w:sz w:val="18"/>
          <w:szCs w:val="18"/>
          <w:lang w:eastAsia="en-GB"/>
        </w:rPr>
        <w:t xml:space="preserve">Considering structural, biophysical, and biochemical analyses, </w:t>
      </w:r>
      <w:r w:rsidRPr="008D0BD2">
        <w:rPr>
          <w:rFonts w:eastAsia="WarnockPro-Semibold" w:hint="eastAsia"/>
          <w:sz w:val="18"/>
          <w:szCs w:val="18"/>
        </w:rPr>
        <w:t>w</w:t>
      </w:r>
      <w:r w:rsidRPr="008D0BD2">
        <w:rPr>
          <w:sz w:val="18"/>
          <w:szCs w:val="18"/>
        </w:rPr>
        <w:t>e discuss the structural basis of the stability of nylon hydrolase.</w:t>
      </w:r>
      <w:r w:rsidRPr="008D0BD2">
        <w:rPr>
          <w:rFonts w:eastAsia="WarnockPro-Regular"/>
          <w:sz w:val="18"/>
          <w:szCs w:val="18"/>
        </w:rPr>
        <w:t xml:space="preserve"> </w:t>
      </w:r>
      <w:r w:rsidRPr="008D0BD2">
        <w:rPr>
          <w:sz w:val="18"/>
          <w:szCs w:val="18"/>
        </w:rPr>
        <w:t>Finally, we propose a model that can predict whether the fate of the nascent polypeptide will be correct subunit assembly, inappropriate protein-protein interactions causing aggregation, or intracellular degradation of the polypeptide.</w:t>
      </w:r>
    </w:p>
    <w:p w:rsidR="00EE3658" w:rsidRDefault="008C3E49" w:rsidP="00B23D96">
      <w:pPr>
        <w:pStyle w:val="3"/>
        <w:spacing w:before="74"/>
        <w:ind w:left="0"/>
        <w:rPr>
          <w:color w:val="BF5A14"/>
        </w:rPr>
      </w:pPr>
      <w:r>
        <w:rPr>
          <w:color w:val="BF5A14"/>
        </w:rPr>
        <w:t>Image</w:t>
      </w:r>
      <w:r w:rsidR="001E79CD">
        <w:rPr>
          <w:noProof/>
          <w:color w:val="BF5A14"/>
          <w:lang w:eastAsia="ja-JP"/>
        </w:rPr>
        <w:drawing>
          <wp:inline distT="0" distB="0" distL="0" distR="0">
            <wp:extent cx="3215162" cy="2236102"/>
            <wp:effectExtent l="0" t="0" r="444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1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9150" cy="224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B23D96" w:rsidP="0080396D">
      <w:pPr>
        <w:pStyle w:val="3"/>
        <w:spacing w:before="74"/>
        <w:ind w:firstLineChars="150" w:firstLine="300"/>
      </w:pPr>
      <w:r>
        <w:rPr>
          <w:b w:val="0"/>
          <w:noProof/>
          <w:lang w:eastAsia="ja-JP"/>
        </w:rPr>
        <w:t xml:space="preserve"> </w:t>
      </w:r>
      <w:r w:rsidR="00A9710C">
        <w:rPr>
          <w:b w:val="0"/>
        </w:rPr>
        <w:br w:type="column"/>
      </w:r>
    </w:p>
    <w:p w:rsidR="005973B9" w:rsidRPr="00EE3658" w:rsidRDefault="008C3E4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BA5204" w:rsidRPr="003D2C81" w:rsidRDefault="00BA5204" w:rsidP="00BA5204">
      <w:pPr>
        <w:pStyle w:val="Default"/>
        <w:snapToGrid w:val="0"/>
        <w:ind w:left="319" w:hangingChars="177" w:hanging="319"/>
        <w:jc w:val="both"/>
        <w:rPr>
          <w:rFonts w:asciiTheme="minorHAnsi" w:eastAsia="ＭＳ ゴシック" w:hAnsiTheme="minorHAnsi" w:cstheme="minorHAnsi"/>
          <w:color w:val="auto"/>
          <w:sz w:val="18"/>
          <w:szCs w:val="18"/>
        </w:rPr>
      </w:pPr>
      <w:r w:rsidRPr="003D2C81">
        <w:rPr>
          <w:rFonts w:asciiTheme="minorHAnsi" w:eastAsia="ＭＳ ゴシック" w:hAnsiTheme="minorHAnsi" w:cstheme="minorHAnsi"/>
          <w:color w:val="auto"/>
          <w:sz w:val="18"/>
          <w:szCs w:val="18"/>
        </w:rPr>
        <w:t>1. Negoro S et al (2005) X-ray crystallographic analysis of 6-a</w:t>
      </w:r>
      <w:r w:rsidR="003D2C81">
        <w:rPr>
          <w:rFonts w:asciiTheme="minorHAnsi" w:eastAsia="ＭＳ ゴシック" w:hAnsiTheme="minorHAnsi" w:cstheme="minorHAnsi"/>
          <w:color w:val="auto"/>
          <w:sz w:val="18"/>
          <w:szCs w:val="18"/>
        </w:rPr>
        <w:t>minohexanoate-dimer hydrolase: M</w:t>
      </w:r>
      <w:r w:rsidRPr="003D2C81">
        <w:rPr>
          <w:rFonts w:asciiTheme="minorHAnsi" w:eastAsia="ＭＳ ゴシック" w:hAnsiTheme="minorHAnsi" w:cstheme="minorHAnsi"/>
          <w:color w:val="auto"/>
          <w:sz w:val="18"/>
          <w:szCs w:val="18"/>
        </w:rPr>
        <w:t xml:space="preserve">olecular basis for the birth of a nylon oligomer degrading enzyme. </w:t>
      </w:r>
      <w:r w:rsidRPr="003D2C81">
        <w:rPr>
          <w:rFonts w:asciiTheme="minorHAnsi" w:eastAsia="ＭＳ ゴシック" w:hAnsiTheme="minorHAnsi" w:cstheme="minorHAnsi"/>
          <w:iCs/>
          <w:color w:val="auto"/>
          <w:sz w:val="18"/>
          <w:szCs w:val="18"/>
        </w:rPr>
        <w:t>J. Biol. Chem.</w:t>
      </w:r>
      <w:r w:rsidRPr="003D2C81">
        <w:rPr>
          <w:rFonts w:asciiTheme="minorHAnsi" w:eastAsia="ＭＳ ゴシック" w:hAnsiTheme="minorHAnsi" w:cstheme="minorHAnsi"/>
          <w:color w:val="auto"/>
          <w:sz w:val="18"/>
          <w:szCs w:val="18"/>
        </w:rPr>
        <w:t xml:space="preserve"> </w:t>
      </w:r>
      <w:r w:rsidRPr="003D2C81">
        <w:rPr>
          <w:rFonts w:asciiTheme="minorHAnsi" w:eastAsia="ＭＳ ゴシック" w:hAnsiTheme="minorHAnsi" w:cstheme="minorHAnsi"/>
          <w:bCs/>
          <w:color w:val="auto"/>
          <w:sz w:val="18"/>
          <w:szCs w:val="18"/>
        </w:rPr>
        <w:t>280</w:t>
      </w:r>
      <w:r w:rsidR="003D2C81">
        <w:rPr>
          <w:rFonts w:asciiTheme="minorHAnsi" w:eastAsia="ＭＳ ゴシック" w:hAnsiTheme="minorHAnsi" w:cstheme="minorHAnsi"/>
          <w:color w:val="auto"/>
          <w:sz w:val="18"/>
          <w:szCs w:val="18"/>
        </w:rPr>
        <w:t>:</w:t>
      </w:r>
      <w:r w:rsidRPr="003D2C81">
        <w:rPr>
          <w:rFonts w:asciiTheme="minorHAnsi" w:eastAsia="ＭＳ ゴシック" w:hAnsiTheme="minorHAnsi" w:cstheme="minorHAnsi"/>
          <w:color w:val="auto"/>
          <w:sz w:val="18"/>
          <w:szCs w:val="18"/>
        </w:rPr>
        <w:t xml:space="preserve"> 39644–39652. </w:t>
      </w:r>
    </w:p>
    <w:p w:rsidR="00BA5204" w:rsidRPr="003D2C81" w:rsidRDefault="00BA5204" w:rsidP="00BA5204">
      <w:pPr>
        <w:pStyle w:val="Default"/>
        <w:snapToGrid w:val="0"/>
        <w:ind w:leftChars="1" w:left="283" w:hangingChars="156" w:hanging="281"/>
        <w:jc w:val="both"/>
        <w:rPr>
          <w:rFonts w:asciiTheme="minorHAnsi" w:hAnsiTheme="minorHAnsi" w:cstheme="minorHAnsi"/>
          <w:bCs/>
          <w:color w:val="auto"/>
          <w:sz w:val="18"/>
          <w:szCs w:val="18"/>
        </w:rPr>
      </w:pPr>
      <w:r w:rsidRPr="003D2C81">
        <w:rPr>
          <w:rFonts w:asciiTheme="minorHAnsi" w:hAnsiTheme="minorHAnsi" w:cstheme="minorHAnsi"/>
          <w:color w:val="auto"/>
          <w:sz w:val="18"/>
          <w:szCs w:val="18"/>
        </w:rPr>
        <w:t>2. Negoro S et al (</w:t>
      </w:r>
      <w:r w:rsidRPr="003D2C81">
        <w:rPr>
          <w:rFonts w:asciiTheme="minorHAnsi" w:hAnsiTheme="minorHAnsi" w:cstheme="minorHAnsi"/>
          <w:bCs/>
          <w:color w:val="auto"/>
          <w:sz w:val="18"/>
          <w:szCs w:val="18"/>
        </w:rPr>
        <w:t>2007) Nylon-oligomer degrading enzyme/substrate</w:t>
      </w:r>
      <w:r w:rsidRPr="003D2C81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Pr="003D2C81">
        <w:rPr>
          <w:rFonts w:asciiTheme="minorHAnsi" w:hAnsiTheme="minorHAnsi" w:cstheme="minorHAnsi"/>
          <w:bCs/>
          <w:color w:val="auto"/>
          <w:sz w:val="18"/>
          <w:szCs w:val="18"/>
        </w:rPr>
        <w:t>complex: catalytic mechanism of 6-aminohexanoate-dimer hydrolase.</w:t>
      </w:r>
      <w:r w:rsidRPr="003D2C81">
        <w:rPr>
          <w:rFonts w:asciiTheme="minorHAnsi" w:hAnsiTheme="minorHAnsi" w:cstheme="minorHAnsi"/>
          <w:color w:val="auto"/>
          <w:sz w:val="18"/>
          <w:szCs w:val="18"/>
        </w:rPr>
        <w:t xml:space="preserve"> J. Mol. Biol. 370</w:t>
      </w:r>
      <w:r w:rsidR="003D2C81">
        <w:rPr>
          <w:rFonts w:asciiTheme="minorHAnsi" w:hAnsiTheme="minorHAnsi" w:cstheme="minorHAnsi"/>
          <w:color w:val="auto"/>
          <w:sz w:val="18"/>
          <w:szCs w:val="18"/>
        </w:rPr>
        <w:t>:</w:t>
      </w:r>
      <w:r w:rsidRPr="003D2C81">
        <w:rPr>
          <w:rFonts w:asciiTheme="minorHAnsi" w:hAnsiTheme="minorHAnsi" w:cstheme="minorHAnsi"/>
          <w:color w:val="auto"/>
          <w:sz w:val="18"/>
          <w:szCs w:val="18"/>
        </w:rPr>
        <w:t xml:space="preserve"> 142-156</w:t>
      </w:r>
      <w:r w:rsidRPr="003D2C81">
        <w:rPr>
          <w:rFonts w:asciiTheme="minorHAnsi" w:hAnsiTheme="minorHAnsi" w:cstheme="minorHAnsi"/>
          <w:bCs/>
          <w:color w:val="auto"/>
          <w:sz w:val="18"/>
          <w:szCs w:val="18"/>
        </w:rPr>
        <w:t>.</w:t>
      </w:r>
    </w:p>
    <w:p w:rsidR="00024C73" w:rsidRPr="003D2C81" w:rsidRDefault="00BA5204" w:rsidP="00BA5204">
      <w:pPr>
        <w:adjustRightInd w:val="0"/>
        <w:snapToGrid w:val="0"/>
        <w:ind w:left="283" w:hangingChars="157" w:hanging="283"/>
        <w:jc w:val="both"/>
        <w:rPr>
          <w:rFonts w:asciiTheme="minorHAnsi" w:hAnsiTheme="minorHAnsi" w:cstheme="minorHAnsi"/>
          <w:sz w:val="18"/>
          <w:szCs w:val="18"/>
        </w:rPr>
      </w:pPr>
      <w:r w:rsidRPr="003D2C81">
        <w:rPr>
          <w:rFonts w:asciiTheme="minorHAnsi" w:hAnsiTheme="minorHAnsi" w:cstheme="minorHAnsi"/>
          <w:sz w:val="18"/>
          <w:szCs w:val="18"/>
        </w:rPr>
        <w:t>3</w:t>
      </w:r>
      <w:r w:rsidR="00024C73" w:rsidRPr="003D2C81">
        <w:rPr>
          <w:rFonts w:asciiTheme="minorHAnsi" w:hAnsiTheme="minorHAnsi" w:cstheme="minorHAnsi"/>
          <w:sz w:val="18"/>
          <w:szCs w:val="18"/>
        </w:rPr>
        <w:t xml:space="preserve">. Yasuhira K et al (2007) 6-Aminohexanoate oligomer hydrolases from the alkalophilic bacteria </w:t>
      </w:r>
      <w:r w:rsidR="00024C73" w:rsidRPr="003D2C81">
        <w:rPr>
          <w:rFonts w:asciiTheme="minorHAnsi" w:hAnsiTheme="minorHAnsi" w:cstheme="minorHAnsi"/>
          <w:iCs/>
          <w:sz w:val="18"/>
          <w:szCs w:val="18"/>
        </w:rPr>
        <w:t xml:space="preserve">Agromyces </w:t>
      </w:r>
      <w:r w:rsidR="00024C73" w:rsidRPr="003D2C81">
        <w:rPr>
          <w:rFonts w:asciiTheme="minorHAnsi" w:hAnsiTheme="minorHAnsi" w:cstheme="minorHAnsi"/>
          <w:sz w:val="18"/>
          <w:szCs w:val="18"/>
        </w:rPr>
        <w:t xml:space="preserve">sp. strain KY5R and </w:t>
      </w:r>
      <w:r w:rsidR="00024C73" w:rsidRPr="003D2C81">
        <w:rPr>
          <w:rFonts w:asciiTheme="minorHAnsi" w:hAnsiTheme="minorHAnsi" w:cstheme="minorHAnsi"/>
          <w:iCs/>
          <w:sz w:val="18"/>
          <w:szCs w:val="18"/>
        </w:rPr>
        <w:t xml:space="preserve">Kocuria </w:t>
      </w:r>
      <w:r w:rsidR="00024C73" w:rsidRPr="003D2C81">
        <w:rPr>
          <w:rFonts w:asciiTheme="minorHAnsi" w:hAnsiTheme="minorHAnsi" w:cstheme="minorHAnsi"/>
          <w:sz w:val="18"/>
          <w:szCs w:val="18"/>
        </w:rPr>
        <w:t>sp. Strain KY2. Appl. Environ. Microbiol. 73</w:t>
      </w:r>
      <w:r w:rsidR="003D2C81">
        <w:rPr>
          <w:rFonts w:asciiTheme="minorHAnsi" w:hAnsiTheme="minorHAnsi" w:cstheme="minorHAnsi"/>
          <w:sz w:val="18"/>
          <w:szCs w:val="18"/>
        </w:rPr>
        <w:t>:</w:t>
      </w:r>
      <w:r w:rsidR="00024C73" w:rsidRPr="003D2C81">
        <w:rPr>
          <w:rFonts w:asciiTheme="minorHAnsi" w:hAnsiTheme="minorHAnsi" w:cstheme="minorHAnsi"/>
          <w:sz w:val="18"/>
          <w:szCs w:val="18"/>
        </w:rPr>
        <w:t xml:space="preserve"> 7099–7102.</w:t>
      </w:r>
    </w:p>
    <w:p w:rsidR="00BA5204" w:rsidRPr="003D2C81" w:rsidRDefault="00BA5204" w:rsidP="00BA5204">
      <w:pPr>
        <w:pStyle w:val="desc2"/>
        <w:shd w:val="clear" w:color="auto" w:fill="FFFFFF"/>
        <w:adjustRightInd w:val="0"/>
        <w:snapToGrid w:val="0"/>
        <w:ind w:left="283" w:hangingChars="157" w:hanging="283"/>
        <w:rPr>
          <w:rFonts w:asciiTheme="minorHAnsi" w:hAnsiTheme="minorHAnsi" w:cstheme="minorHAnsi"/>
          <w:sz w:val="18"/>
          <w:szCs w:val="18"/>
        </w:rPr>
      </w:pPr>
      <w:r w:rsidRPr="003D2C81">
        <w:rPr>
          <w:rFonts w:asciiTheme="minorHAnsi" w:hAnsiTheme="minorHAnsi" w:cstheme="minorHAnsi"/>
          <w:sz w:val="18"/>
          <w:szCs w:val="18"/>
        </w:rPr>
        <w:t>4. Yasuhira K et al (2010) X-ray crystallographic analysis of the 6-aminohexanoate cyclic dimer hydrolase: catalytic mechanism and evolution of an enzyme responsible for nylon-6 byproduct degradation. J. Biol. Chem. 285</w:t>
      </w:r>
      <w:r w:rsidR="003D2C81">
        <w:rPr>
          <w:rFonts w:asciiTheme="minorHAnsi" w:hAnsiTheme="minorHAnsi" w:cstheme="minorHAnsi"/>
          <w:sz w:val="18"/>
          <w:szCs w:val="18"/>
        </w:rPr>
        <w:t>:</w:t>
      </w:r>
      <w:r w:rsidRPr="003D2C81">
        <w:rPr>
          <w:rFonts w:asciiTheme="minorHAnsi" w:hAnsiTheme="minorHAnsi" w:cstheme="minorHAnsi"/>
          <w:sz w:val="18"/>
          <w:szCs w:val="18"/>
        </w:rPr>
        <w:t xml:space="preserve"> 1239–1248.</w:t>
      </w:r>
    </w:p>
    <w:p w:rsidR="00BA5204" w:rsidRPr="003D2C81" w:rsidRDefault="00BA5204" w:rsidP="00BA5204">
      <w:pPr>
        <w:adjustRightInd w:val="0"/>
        <w:snapToGrid w:val="0"/>
        <w:ind w:leftChars="2" w:left="283" w:hangingChars="155" w:hanging="279"/>
        <w:jc w:val="both"/>
        <w:rPr>
          <w:rFonts w:asciiTheme="minorHAnsi" w:hAnsiTheme="minorHAnsi" w:cstheme="minorHAnsi"/>
          <w:sz w:val="18"/>
          <w:szCs w:val="18"/>
        </w:rPr>
      </w:pPr>
      <w:r w:rsidRPr="003D2C81">
        <w:rPr>
          <w:rFonts w:asciiTheme="minorHAnsi" w:hAnsiTheme="minorHAnsi" w:cstheme="minorHAnsi"/>
          <w:sz w:val="18"/>
          <w:szCs w:val="18"/>
        </w:rPr>
        <w:t>5. Negoro S et al (2012) Three-dimensional structure of nylon hydrolase and mechanism of nylon-6 hydrolysis. J. Biol. Chem., 287: 5079-5090.</w:t>
      </w:r>
    </w:p>
    <w:p w:rsidR="00BA5204" w:rsidRPr="003D2C81" w:rsidRDefault="00BA5204" w:rsidP="00BA5204">
      <w:pPr>
        <w:tabs>
          <w:tab w:val="left" w:pos="384"/>
        </w:tabs>
        <w:adjustRightInd w:val="0"/>
        <w:snapToGrid w:val="0"/>
        <w:spacing w:line="216" w:lineRule="exact"/>
        <w:ind w:left="283" w:right="137" w:hangingChars="157" w:hanging="283"/>
        <w:rPr>
          <w:rFonts w:asciiTheme="minorHAnsi" w:hAnsiTheme="minorHAnsi" w:cstheme="minorHAnsi"/>
          <w:sz w:val="18"/>
          <w:szCs w:val="18"/>
        </w:rPr>
      </w:pPr>
      <w:r w:rsidRPr="003D2C81">
        <w:rPr>
          <w:rFonts w:asciiTheme="minorHAnsi" w:hAnsiTheme="minorHAnsi" w:cstheme="minorHAnsi"/>
          <w:sz w:val="18"/>
          <w:szCs w:val="18"/>
        </w:rPr>
        <w:t xml:space="preserve">6. </w:t>
      </w:r>
      <w:hyperlink r:id="rId11" w:history="1">
        <w:r w:rsidRPr="003D2C81">
          <w:rPr>
            <w:rFonts w:asciiTheme="minorHAnsi" w:eastAsia="ＭＳ Ｐゴシック" w:hAnsiTheme="minorHAnsi" w:cstheme="minorHAnsi"/>
            <w:sz w:val="18"/>
            <w:szCs w:val="18"/>
          </w:rPr>
          <w:t>Nagai K</w:t>
        </w:r>
      </w:hyperlink>
      <w:r w:rsidRPr="003D2C81">
        <w:rPr>
          <w:rFonts w:asciiTheme="minorHAnsi" w:eastAsia="ＭＳ Ｐゴシック" w:hAnsiTheme="minorHAnsi" w:cstheme="minorHAnsi"/>
          <w:sz w:val="18"/>
          <w:szCs w:val="18"/>
        </w:rPr>
        <w:t xml:space="preserve"> et al (2014) </w:t>
      </w:r>
      <w:proofErr w:type="gramStart"/>
      <w:r w:rsidRPr="003D2C81">
        <w:rPr>
          <w:rFonts w:asciiTheme="minorHAnsi" w:eastAsia="ＭＳ Ｐゴシック" w:hAnsiTheme="minorHAnsi" w:cstheme="minorHAnsi"/>
          <w:bCs/>
          <w:kern w:val="36"/>
          <w:sz w:val="18"/>
          <w:szCs w:val="18"/>
        </w:rPr>
        <w:t>Enzymatic</w:t>
      </w:r>
      <w:proofErr w:type="gramEnd"/>
      <w:r w:rsidRPr="003D2C81">
        <w:rPr>
          <w:rFonts w:asciiTheme="minorHAnsi" w:eastAsia="ＭＳ Ｐゴシック" w:hAnsiTheme="minorHAnsi" w:cstheme="minorHAnsi"/>
          <w:bCs/>
          <w:kern w:val="36"/>
          <w:sz w:val="18"/>
          <w:szCs w:val="18"/>
        </w:rPr>
        <w:t xml:space="preserve"> hydrolysis of nylons: quantification of the reaction rate of nylon hydrolase for thin-layered nylons.</w:t>
      </w:r>
      <w:r w:rsidRPr="003D2C81">
        <w:rPr>
          <w:rFonts w:asciiTheme="minorHAnsi" w:eastAsia="ＭＳ Ｐゴシック" w:hAnsiTheme="minorHAnsi" w:cstheme="minorHAnsi"/>
          <w:sz w:val="18"/>
          <w:szCs w:val="18"/>
        </w:rPr>
        <w:t xml:space="preserve"> </w:t>
      </w:r>
      <w:hyperlink r:id="rId12" w:tooltip="Applied microbiology and biotechnology." w:history="1">
        <w:r w:rsidRPr="003D2C81">
          <w:rPr>
            <w:rFonts w:asciiTheme="minorHAnsi" w:eastAsia="ＭＳ Ｐゴシック" w:hAnsiTheme="minorHAnsi" w:cstheme="minorHAnsi"/>
            <w:sz w:val="18"/>
            <w:szCs w:val="18"/>
          </w:rPr>
          <w:t>Appl Microbiol Biotechnol.</w:t>
        </w:r>
      </w:hyperlink>
      <w:r w:rsidRPr="003D2C81">
        <w:rPr>
          <w:rFonts w:asciiTheme="minorHAnsi" w:eastAsia="ＭＳ Ｐゴシック" w:hAnsiTheme="minorHAnsi" w:cstheme="minorHAnsi"/>
          <w:sz w:val="18"/>
          <w:szCs w:val="18"/>
        </w:rPr>
        <w:t xml:space="preserve"> 98:</w:t>
      </w:r>
      <w:r w:rsidR="003D2C81">
        <w:rPr>
          <w:rFonts w:asciiTheme="minorHAnsi" w:eastAsia="ＭＳ Ｐゴシック" w:hAnsiTheme="minorHAnsi" w:cstheme="minorHAnsi"/>
          <w:sz w:val="18"/>
          <w:szCs w:val="18"/>
        </w:rPr>
        <w:t xml:space="preserve"> </w:t>
      </w:r>
      <w:r w:rsidRPr="003D2C81">
        <w:rPr>
          <w:rFonts w:asciiTheme="minorHAnsi" w:eastAsia="ＭＳ Ｐゴシック" w:hAnsiTheme="minorHAnsi" w:cstheme="minorHAnsi"/>
          <w:sz w:val="18"/>
          <w:szCs w:val="18"/>
        </w:rPr>
        <w:t>8751-8761.</w:t>
      </w:r>
    </w:p>
    <w:p w:rsidR="00BA5204" w:rsidRPr="003D2C81" w:rsidRDefault="00BA5204" w:rsidP="00BA5204">
      <w:pPr>
        <w:widowControl/>
        <w:shd w:val="clear" w:color="auto" w:fill="FFFFFF"/>
        <w:adjustRightInd w:val="0"/>
        <w:snapToGrid w:val="0"/>
        <w:ind w:left="319" w:hangingChars="177" w:hanging="319"/>
        <w:rPr>
          <w:rFonts w:asciiTheme="minorHAnsi" w:eastAsia="ＭＳ Ｐゴシック" w:hAnsiTheme="minorHAnsi" w:cstheme="minorHAnsi"/>
          <w:sz w:val="18"/>
          <w:szCs w:val="18"/>
        </w:rPr>
      </w:pPr>
      <w:r w:rsidRPr="003D2C81">
        <w:rPr>
          <w:rFonts w:asciiTheme="minorHAnsi" w:hAnsiTheme="minorHAnsi" w:cstheme="minorHAnsi"/>
          <w:sz w:val="18"/>
          <w:szCs w:val="18"/>
        </w:rPr>
        <w:t xml:space="preserve">7. </w:t>
      </w:r>
      <w:hyperlink r:id="rId13" w:history="1">
        <w:r w:rsidRPr="003D2C81">
          <w:rPr>
            <w:rStyle w:val="highlight"/>
            <w:rFonts w:asciiTheme="minorHAnsi" w:hAnsiTheme="minorHAnsi" w:cstheme="minorHAnsi"/>
            <w:color w:val="2F4A8B"/>
            <w:sz w:val="18"/>
            <w:szCs w:val="18"/>
          </w:rPr>
          <w:t>Negoro</w:t>
        </w:r>
        <w:r w:rsidRPr="003D2C81">
          <w:rPr>
            <w:rFonts w:asciiTheme="minorHAnsi" w:hAnsiTheme="minorHAnsi" w:cstheme="minorHAnsi"/>
            <w:color w:val="2F4A8B"/>
            <w:sz w:val="18"/>
            <w:szCs w:val="18"/>
          </w:rPr>
          <w:t xml:space="preserve"> S</w:t>
        </w:r>
      </w:hyperlink>
      <w:r w:rsidRPr="003D2C81">
        <w:rPr>
          <w:rFonts w:asciiTheme="minorHAnsi" w:hAnsiTheme="minorHAnsi" w:cstheme="minorHAnsi"/>
          <w:sz w:val="18"/>
          <w:szCs w:val="18"/>
        </w:rPr>
        <w:t xml:space="preserve"> et al (2016) Mutations affecting the internal equilibrium of the reaction catalyzed by 6-aminohexanoate-dimer hydrolase. </w:t>
      </w:r>
      <w:hyperlink r:id="rId14" w:tooltip="FEBS letters." w:history="1">
        <w:r w:rsidRPr="003D2C81">
          <w:rPr>
            <w:rFonts w:asciiTheme="minorHAnsi" w:hAnsiTheme="minorHAnsi" w:cstheme="minorHAnsi"/>
            <w:color w:val="2F4A8B"/>
            <w:sz w:val="18"/>
            <w:szCs w:val="18"/>
          </w:rPr>
          <w:t>FEBS Lett.</w:t>
        </w:r>
      </w:hyperlink>
      <w:r w:rsidRPr="003D2C81">
        <w:rPr>
          <w:rFonts w:asciiTheme="minorHAnsi" w:hAnsiTheme="minorHAnsi" w:cstheme="minorHAnsi"/>
          <w:sz w:val="18"/>
          <w:szCs w:val="18"/>
        </w:rPr>
        <w:t xml:space="preserve"> 590:</w:t>
      </w:r>
      <w:r w:rsidR="003D2C81">
        <w:rPr>
          <w:rFonts w:asciiTheme="minorHAnsi" w:hAnsiTheme="minorHAnsi" w:cstheme="minorHAnsi"/>
          <w:sz w:val="18"/>
          <w:szCs w:val="18"/>
        </w:rPr>
        <w:t xml:space="preserve"> </w:t>
      </w:r>
      <w:r w:rsidRPr="003D2C81">
        <w:rPr>
          <w:rFonts w:asciiTheme="minorHAnsi" w:hAnsiTheme="minorHAnsi" w:cstheme="minorHAnsi"/>
          <w:sz w:val="18"/>
          <w:szCs w:val="18"/>
        </w:rPr>
        <w:t xml:space="preserve">3133-3143. </w:t>
      </w:r>
    </w:p>
    <w:p w:rsidR="00AE3E37" w:rsidRPr="001E79CD" w:rsidRDefault="00BA5204" w:rsidP="001E79CD">
      <w:pPr>
        <w:pStyle w:val="desc2"/>
        <w:shd w:val="clear" w:color="auto" w:fill="FFFFFF"/>
        <w:adjustRightInd w:val="0"/>
        <w:snapToGrid w:val="0"/>
        <w:ind w:left="283" w:hangingChars="157" w:hanging="283"/>
        <w:rPr>
          <w:rFonts w:asciiTheme="minorHAnsi" w:hAnsiTheme="minorHAnsi" w:cstheme="minorHAnsi"/>
          <w:sz w:val="18"/>
          <w:szCs w:val="18"/>
        </w:rPr>
        <w:sectPr w:rsidR="00AE3E37" w:rsidRPr="001E79C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3D2C81">
        <w:rPr>
          <w:rFonts w:asciiTheme="minorHAnsi" w:hAnsiTheme="minorHAnsi" w:cstheme="minorHAnsi"/>
          <w:sz w:val="18"/>
          <w:szCs w:val="18"/>
        </w:rPr>
        <w:t>8</w:t>
      </w:r>
      <w:r w:rsidR="008C3E49" w:rsidRPr="003D2C81">
        <w:rPr>
          <w:rFonts w:asciiTheme="minorHAnsi" w:hAnsiTheme="minorHAnsi" w:cstheme="minorHAnsi"/>
          <w:sz w:val="18"/>
          <w:szCs w:val="18"/>
        </w:rPr>
        <w:t xml:space="preserve">. Takehara I et al (2018) </w:t>
      </w:r>
      <w:hyperlink r:id="rId15" w:history="1">
        <w:proofErr w:type="gramStart"/>
        <w:r w:rsidR="008C3E49" w:rsidRPr="003D2C81">
          <w:rPr>
            <w:rFonts w:asciiTheme="minorHAnsi" w:hAnsiTheme="minorHAnsi" w:cstheme="minorHAnsi"/>
            <w:sz w:val="18"/>
            <w:szCs w:val="18"/>
          </w:rPr>
          <w:t>Metabolic</w:t>
        </w:r>
        <w:proofErr w:type="gramEnd"/>
        <w:r w:rsidR="008C3E49" w:rsidRPr="003D2C81">
          <w:rPr>
            <w:rFonts w:asciiTheme="minorHAnsi" w:hAnsiTheme="minorHAnsi" w:cstheme="minorHAnsi"/>
            <w:sz w:val="18"/>
            <w:szCs w:val="18"/>
          </w:rPr>
          <w:t xml:space="preserve"> pathway of 6-aminohexanoate in the nylon oligomer-degrading bacterium Arthrobacter sp. KI72: identifi- cation of the enzymes responsible for the conversion of 6-amino</w:t>
        </w:r>
        <w:r w:rsidR="003D2C81">
          <w:rPr>
            <w:rFonts w:asciiTheme="minorHAnsi" w:hAnsiTheme="minorHAnsi" w:cstheme="minorHAnsi"/>
            <w:sz w:val="18"/>
            <w:szCs w:val="18"/>
          </w:rPr>
          <w:t>-</w:t>
        </w:r>
        <w:r w:rsidR="008C3E49" w:rsidRPr="003D2C81">
          <w:rPr>
            <w:rFonts w:asciiTheme="minorHAnsi" w:hAnsiTheme="minorHAnsi" w:cstheme="minorHAnsi"/>
            <w:sz w:val="18"/>
            <w:szCs w:val="18"/>
          </w:rPr>
          <w:t>hexanoate to adipate.</w:t>
        </w:r>
      </w:hyperlink>
      <w:r w:rsidR="008C3E49" w:rsidRPr="003D2C81">
        <w:rPr>
          <w:rFonts w:asciiTheme="minorHAnsi" w:hAnsiTheme="minorHAnsi" w:cstheme="minorHAnsi"/>
          <w:sz w:val="18"/>
          <w:szCs w:val="18"/>
        </w:rPr>
        <w:t xml:space="preserve"> </w:t>
      </w:r>
      <w:r w:rsidR="008C3E49" w:rsidRPr="003D2C81">
        <w:rPr>
          <w:rStyle w:val="jrnl"/>
          <w:rFonts w:asciiTheme="minorHAnsi" w:hAnsiTheme="minorHAnsi" w:cstheme="minorHAnsi"/>
          <w:sz w:val="18"/>
          <w:szCs w:val="18"/>
        </w:rPr>
        <w:t>Appl Microbiol Biotechnol</w:t>
      </w:r>
      <w:r w:rsidR="009F4C94">
        <w:rPr>
          <w:rFonts w:asciiTheme="minorHAnsi" w:hAnsiTheme="minorHAnsi" w:cstheme="minorHAnsi"/>
          <w:sz w:val="18"/>
          <w:szCs w:val="18"/>
        </w:rPr>
        <w:t>. 102: 801-81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7BAD6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</w:t>
      </w:r>
      <w:r w:rsidR="001E79CD">
        <w:rPr>
          <w:noProof/>
          <w:lang w:eastAsia="ja-JP"/>
        </w:rPr>
        <w:drawing>
          <wp:inline distT="0" distB="0" distL="0" distR="0">
            <wp:extent cx="488950" cy="555224"/>
            <wp:effectExtent l="0" t="0" r="635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goro-Photo-ApplMicrobiol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492" cy="564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Pr="009F4C94" w:rsidRDefault="005119F3" w:rsidP="00F36462">
      <w:pPr>
        <w:rPr>
          <w:rFonts w:ascii="Arial" w:eastAsiaTheme="minorEastAsia" w:hAnsi="Arial" w:cs="Arial"/>
          <w:sz w:val="14"/>
          <w:szCs w:val="14"/>
          <w:lang w:eastAsia="ja-JP"/>
        </w:rPr>
      </w:pPr>
      <w:r w:rsidRPr="009F4C94">
        <w:rPr>
          <w:rFonts w:ascii="Arial" w:hAnsi="Arial" w:cs="Arial"/>
          <w:sz w:val="14"/>
          <w:szCs w:val="14"/>
        </w:rPr>
        <w:t>Current position: Professor, Department of Applied Chemistry, Graduate School of Engineering, U</w:t>
      </w:r>
      <w:bookmarkStart w:id="0" w:name="_GoBack"/>
      <w:bookmarkEnd w:id="0"/>
      <w:r w:rsidRPr="009F4C94">
        <w:rPr>
          <w:rFonts w:ascii="Arial" w:hAnsi="Arial" w:cs="Arial"/>
          <w:sz w:val="14"/>
          <w:szCs w:val="14"/>
        </w:rPr>
        <w:t>niversity of Hyogo.</w:t>
      </w:r>
      <w:r w:rsidRPr="009F4C94">
        <w:rPr>
          <w:rFonts w:ascii="Arial" w:eastAsiaTheme="minorEastAsia" w:hAnsi="Arial" w:cs="Arial"/>
          <w:sz w:val="14"/>
          <w:szCs w:val="14"/>
          <w:lang w:eastAsia="ja-JP"/>
        </w:rPr>
        <w:t xml:space="preserve"> </w:t>
      </w:r>
      <w:r w:rsidR="00F36462" w:rsidRPr="009F4C94">
        <w:rPr>
          <w:rFonts w:ascii="Arial" w:hAnsi="Arial" w:cs="Arial"/>
          <w:sz w:val="14"/>
          <w:szCs w:val="14"/>
        </w:rPr>
        <w:t>Scientific field:  Enzymology, Protein engineering, Environmental biotechnology</w:t>
      </w:r>
      <w:r w:rsidR="001E79CD" w:rsidRPr="009F4C94">
        <w:rPr>
          <w:rFonts w:ascii="Arial" w:hAnsi="Arial" w:cs="Arial"/>
          <w:sz w:val="14"/>
          <w:szCs w:val="14"/>
        </w:rPr>
        <w:t>.</w:t>
      </w:r>
      <w:r w:rsidR="00F36462" w:rsidRPr="009F4C94">
        <w:rPr>
          <w:rFonts w:ascii="Arial" w:hAnsi="Arial" w:cs="Arial"/>
          <w:sz w:val="14"/>
          <w:szCs w:val="14"/>
        </w:rPr>
        <w:t xml:space="preserve"> 1982, Graduate </w:t>
      </w:r>
      <w:r w:rsidR="00AE6540" w:rsidRPr="009F4C94">
        <w:rPr>
          <w:rFonts w:ascii="Arial" w:hAnsi="Arial" w:cs="Arial"/>
          <w:sz w:val="14"/>
          <w:szCs w:val="14"/>
        </w:rPr>
        <w:t xml:space="preserve">School </w:t>
      </w:r>
      <w:r w:rsidR="00F36462" w:rsidRPr="009F4C94">
        <w:rPr>
          <w:rFonts w:ascii="Arial" w:hAnsi="Arial" w:cs="Arial"/>
          <w:sz w:val="14"/>
          <w:szCs w:val="14"/>
        </w:rPr>
        <w:t>of Engineering, Osaka University</w:t>
      </w:r>
      <w:r w:rsidRPr="009F4C94">
        <w:rPr>
          <w:rFonts w:ascii="Arial" w:hAnsi="Arial" w:cs="Arial"/>
          <w:sz w:val="14"/>
          <w:szCs w:val="14"/>
        </w:rPr>
        <w:t xml:space="preserve"> (Ph</w:t>
      </w:r>
      <w:r w:rsidR="00F36462" w:rsidRPr="009F4C94">
        <w:rPr>
          <w:rFonts w:ascii="Arial" w:hAnsi="Arial" w:cs="Arial"/>
          <w:sz w:val="14"/>
          <w:szCs w:val="14"/>
        </w:rPr>
        <w:t>D)</w:t>
      </w:r>
      <w:r w:rsidR="00F36462" w:rsidRPr="009F4C94">
        <w:rPr>
          <w:rFonts w:ascii="Arial" w:eastAsiaTheme="minorEastAsia" w:hAnsi="Arial" w:cs="Arial"/>
          <w:sz w:val="14"/>
          <w:szCs w:val="14"/>
          <w:lang w:eastAsia="ja-JP"/>
        </w:rPr>
        <w:t xml:space="preserve">. </w:t>
      </w:r>
      <w:r w:rsidR="00F36462" w:rsidRPr="009F4C94">
        <w:rPr>
          <w:rFonts w:ascii="Arial" w:hAnsi="Arial" w:cs="Arial"/>
          <w:sz w:val="14"/>
          <w:szCs w:val="14"/>
        </w:rPr>
        <w:t>1982-1992, Research associate, De</w:t>
      </w:r>
      <w:r w:rsidR="00AE6540" w:rsidRPr="009F4C94">
        <w:rPr>
          <w:rFonts w:ascii="Arial" w:hAnsi="Arial" w:cs="Arial"/>
          <w:sz w:val="14"/>
          <w:szCs w:val="14"/>
        </w:rPr>
        <w:t xml:space="preserve">partment of Biotechnology, </w:t>
      </w:r>
      <w:r w:rsidR="001E79CD" w:rsidRPr="009F4C94">
        <w:rPr>
          <w:rFonts w:ascii="Arial" w:hAnsi="Arial" w:cs="Arial"/>
          <w:sz w:val="14"/>
          <w:szCs w:val="14"/>
        </w:rPr>
        <w:t>Osaka University.</w:t>
      </w:r>
      <w:r w:rsidR="00F36462" w:rsidRPr="009F4C94">
        <w:rPr>
          <w:rFonts w:ascii="Arial" w:eastAsiaTheme="minorEastAsia" w:hAnsi="Arial" w:cs="Arial"/>
          <w:sz w:val="14"/>
          <w:szCs w:val="14"/>
          <w:lang w:eastAsia="ja-JP"/>
        </w:rPr>
        <w:t xml:space="preserve"> </w:t>
      </w:r>
      <w:r w:rsidR="00F36462" w:rsidRPr="009F4C94">
        <w:rPr>
          <w:rFonts w:ascii="Arial" w:hAnsi="Arial" w:cs="Arial"/>
          <w:sz w:val="14"/>
          <w:szCs w:val="14"/>
        </w:rPr>
        <w:t xml:space="preserve">1992-1997, Associate professor, Department of </w:t>
      </w:r>
      <w:r w:rsidR="001E79CD" w:rsidRPr="009F4C94">
        <w:rPr>
          <w:rFonts w:ascii="Arial" w:hAnsi="Arial" w:cs="Arial"/>
          <w:sz w:val="14"/>
          <w:szCs w:val="14"/>
        </w:rPr>
        <w:t>Biotechnology, Osaka University.</w:t>
      </w:r>
      <w:r w:rsidR="00F36462" w:rsidRPr="009F4C94">
        <w:rPr>
          <w:rFonts w:ascii="Arial" w:eastAsiaTheme="minorEastAsia" w:hAnsi="Arial" w:cs="Arial"/>
          <w:sz w:val="14"/>
          <w:szCs w:val="14"/>
          <w:lang w:eastAsia="ja-JP"/>
        </w:rPr>
        <w:t xml:space="preserve"> </w:t>
      </w:r>
      <w:r w:rsidR="00F36462" w:rsidRPr="009F4C94">
        <w:rPr>
          <w:rFonts w:ascii="Arial" w:hAnsi="Arial" w:cs="Arial"/>
          <w:sz w:val="14"/>
          <w:szCs w:val="14"/>
        </w:rPr>
        <w:t>1997- , Professor, D</w:t>
      </w:r>
      <w:r w:rsidR="00AE6540" w:rsidRPr="009F4C94">
        <w:rPr>
          <w:rFonts w:ascii="Arial" w:hAnsi="Arial" w:cs="Arial"/>
          <w:sz w:val="14"/>
          <w:szCs w:val="14"/>
        </w:rPr>
        <w:t>epartment of Applied Chemistry</w:t>
      </w:r>
      <w:r w:rsidR="00F36462" w:rsidRPr="009F4C94">
        <w:rPr>
          <w:rFonts w:ascii="Arial" w:hAnsi="Arial" w:cs="Arial"/>
          <w:sz w:val="14"/>
          <w:szCs w:val="14"/>
        </w:rPr>
        <w:t>, University of Hyogo</w:t>
      </w:r>
    </w:p>
    <w:p w:rsidR="00AE3E37" w:rsidRPr="009F4C94" w:rsidRDefault="00A9710C">
      <w:pPr>
        <w:spacing w:before="62"/>
        <w:ind w:left="4217" w:right="4235"/>
        <w:jc w:val="center"/>
        <w:rPr>
          <w:rFonts w:ascii="Arial" w:hAnsi="Arial" w:cs="Arial"/>
          <w:sz w:val="14"/>
          <w:szCs w:val="14"/>
        </w:rPr>
      </w:pPr>
      <w:r w:rsidRPr="009F4C94">
        <w:rPr>
          <w:rFonts w:ascii="Arial" w:hAnsi="Arial" w:cs="Arial"/>
          <w:sz w:val="14"/>
          <w:szCs w:val="14"/>
        </w:rPr>
        <w:t>Email:</w:t>
      </w:r>
      <w:r w:rsidR="00A84AF4" w:rsidRPr="009F4C94">
        <w:rPr>
          <w:rFonts w:ascii="Arial" w:hAnsi="Arial" w:cs="Arial"/>
          <w:sz w:val="14"/>
          <w:szCs w:val="14"/>
        </w:rPr>
        <w:t xml:space="preserve"> negoro@eng.u-hyogo.ac.jp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7FCC11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F7E" w:rsidRDefault="000A0F7E">
      <w:r>
        <w:separator/>
      </w:r>
    </w:p>
  </w:endnote>
  <w:endnote w:type="continuationSeparator" w:id="0">
    <w:p w:rsidR="000A0F7E" w:rsidRDefault="000A0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WarnockPro-Regular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arnockPro-Semibold">
    <w:panose1 w:val="00000000000000000000"/>
    <w:charset w:val="0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6E0D770" wp14:editId="1AB5A04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E0D7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4D3A827" wp14:editId="06E6B58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D3A82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BCE3828" wp14:editId="114D410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CE382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F7E" w:rsidRDefault="000A0F7E">
      <w:r>
        <w:separator/>
      </w:r>
    </w:p>
  </w:footnote>
  <w:footnote w:type="continuationSeparator" w:id="0">
    <w:p w:rsidR="000A0F7E" w:rsidRDefault="000A0F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C79252B" wp14:editId="3E93AFB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79252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2C92286" wp14:editId="393E521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C92286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A8A3C3E"/>
    <w:multiLevelType w:val="multilevel"/>
    <w:tmpl w:val="F04AD146"/>
    <w:lvl w:ilvl="0">
      <w:start w:val="1"/>
      <w:numFmt w:val="upperLetter"/>
      <w:pStyle w:val="IUCrappendixheading1"/>
      <w:suff w:val="space"/>
      <w:lvlText w:val="Appendix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IUCrappendixheading2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IUCrappendixheading3"/>
      <w:suff w:val="space"/>
      <w:lvlText w:val="%1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639E6CF3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27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26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76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259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4C73"/>
    <w:rsid w:val="00081B22"/>
    <w:rsid w:val="000A0F7E"/>
    <w:rsid w:val="000E2911"/>
    <w:rsid w:val="000E6FDD"/>
    <w:rsid w:val="00104261"/>
    <w:rsid w:val="001263DF"/>
    <w:rsid w:val="00194B8C"/>
    <w:rsid w:val="001A69A0"/>
    <w:rsid w:val="001E79CD"/>
    <w:rsid w:val="00224315"/>
    <w:rsid w:val="002455EC"/>
    <w:rsid w:val="00292ED9"/>
    <w:rsid w:val="00351983"/>
    <w:rsid w:val="00383AAA"/>
    <w:rsid w:val="003D2C81"/>
    <w:rsid w:val="003D3746"/>
    <w:rsid w:val="00404E5B"/>
    <w:rsid w:val="00414F7B"/>
    <w:rsid w:val="004355DC"/>
    <w:rsid w:val="004749B4"/>
    <w:rsid w:val="00494130"/>
    <w:rsid w:val="004F3523"/>
    <w:rsid w:val="005119F3"/>
    <w:rsid w:val="005373E1"/>
    <w:rsid w:val="005973B9"/>
    <w:rsid w:val="005B3A56"/>
    <w:rsid w:val="005F49AC"/>
    <w:rsid w:val="006060CE"/>
    <w:rsid w:val="00615299"/>
    <w:rsid w:val="0063497F"/>
    <w:rsid w:val="0080396D"/>
    <w:rsid w:val="008545B5"/>
    <w:rsid w:val="00873DF0"/>
    <w:rsid w:val="008756E6"/>
    <w:rsid w:val="008A08B6"/>
    <w:rsid w:val="008B653E"/>
    <w:rsid w:val="008C3E49"/>
    <w:rsid w:val="008D0BD2"/>
    <w:rsid w:val="009B2D44"/>
    <w:rsid w:val="009F425C"/>
    <w:rsid w:val="009F4C94"/>
    <w:rsid w:val="00A07E82"/>
    <w:rsid w:val="00A84AF4"/>
    <w:rsid w:val="00A9710C"/>
    <w:rsid w:val="00AE3E37"/>
    <w:rsid w:val="00AE6540"/>
    <w:rsid w:val="00B21A57"/>
    <w:rsid w:val="00B23D96"/>
    <w:rsid w:val="00BA5204"/>
    <w:rsid w:val="00C33602"/>
    <w:rsid w:val="00CA0951"/>
    <w:rsid w:val="00CA7427"/>
    <w:rsid w:val="00CB6E1A"/>
    <w:rsid w:val="00CD6F55"/>
    <w:rsid w:val="00DE3104"/>
    <w:rsid w:val="00DE385B"/>
    <w:rsid w:val="00E26B10"/>
    <w:rsid w:val="00EE3658"/>
    <w:rsid w:val="00F36462"/>
    <w:rsid w:val="00F72EEA"/>
    <w:rsid w:val="00F84CAE"/>
    <w:rsid w:val="00FB1B7F"/>
    <w:rsid w:val="00FB6494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7097D09-6A64-4BF5-9EF6-F9DF4F059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link w:val="20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20">
    <w:name w:val="見出し 2 (文字)"/>
    <w:basedOn w:val="a0"/>
    <w:link w:val="2"/>
    <w:uiPriority w:val="1"/>
    <w:rsid w:val="00024C73"/>
    <w:rPr>
      <w:rFonts w:ascii="Minion Pro" w:eastAsia="Minion Pro" w:hAnsi="Minion Pro" w:cs="Minion Pro"/>
      <w:sz w:val="24"/>
      <w:szCs w:val="24"/>
    </w:rPr>
  </w:style>
  <w:style w:type="paragraph" w:customStyle="1" w:styleId="Default">
    <w:name w:val="Default"/>
    <w:rsid w:val="00024C73"/>
    <w:pPr>
      <w:autoSpaceDE w:val="0"/>
      <w:autoSpaceDN w:val="0"/>
      <w:adjustRightInd w:val="0"/>
    </w:pPr>
    <w:rPr>
      <w:rFonts w:ascii="Times New Roman" w:eastAsia="ＭＳ 明朝" w:hAnsi="Times New Roman" w:cs="Times New Roman"/>
      <w:color w:val="000000"/>
      <w:sz w:val="24"/>
      <w:szCs w:val="24"/>
      <w:lang w:eastAsia="ja-JP"/>
    </w:rPr>
  </w:style>
  <w:style w:type="paragraph" w:customStyle="1" w:styleId="IUCrappendixheading1">
    <w:name w:val="IUCr appendix heading 1"/>
    <w:next w:val="a"/>
    <w:rsid w:val="00024C73"/>
    <w:pPr>
      <w:widowControl/>
      <w:numPr>
        <w:numId w:val="4"/>
      </w:numPr>
      <w:spacing w:before="240" w:after="120" w:line="360" w:lineRule="auto"/>
    </w:pPr>
    <w:rPr>
      <w:rFonts w:ascii="Arial" w:eastAsia="ＭＳ 明朝" w:hAnsi="Arial" w:cs="Times New Roman"/>
      <w:b/>
      <w:sz w:val="20"/>
      <w:szCs w:val="20"/>
      <w:lang w:val="en-GB"/>
    </w:rPr>
  </w:style>
  <w:style w:type="paragraph" w:customStyle="1" w:styleId="IUCrappendixheading2">
    <w:name w:val="IUCr appendix heading 2"/>
    <w:next w:val="a"/>
    <w:rsid w:val="00024C73"/>
    <w:pPr>
      <w:widowControl/>
      <w:numPr>
        <w:ilvl w:val="1"/>
        <w:numId w:val="4"/>
      </w:numPr>
      <w:spacing w:before="240" w:after="120" w:line="360" w:lineRule="auto"/>
    </w:pPr>
    <w:rPr>
      <w:rFonts w:ascii="Arial" w:eastAsia="ＭＳ 明朝" w:hAnsi="Arial" w:cs="Times New Roman"/>
      <w:b/>
      <w:sz w:val="20"/>
      <w:szCs w:val="20"/>
      <w:lang w:val="en-GB"/>
    </w:rPr>
  </w:style>
  <w:style w:type="paragraph" w:customStyle="1" w:styleId="IUCrappendixheading3">
    <w:name w:val="IUCr appendix heading 3"/>
    <w:next w:val="a"/>
    <w:rsid w:val="00024C73"/>
    <w:pPr>
      <w:widowControl/>
      <w:numPr>
        <w:ilvl w:val="2"/>
        <w:numId w:val="4"/>
      </w:numPr>
      <w:spacing w:before="240" w:after="120" w:line="360" w:lineRule="auto"/>
    </w:pPr>
    <w:rPr>
      <w:rFonts w:ascii="Arial" w:eastAsia="ＭＳ 明朝" w:hAnsi="Arial" w:cs="Times New Roman"/>
      <w:b/>
      <w:sz w:val="20"/>
      <w:szCs w:val="20"/>
      <w:lang w:val="en-GB"/>
    </w:rPr>
  </w:style>
  <w:style w:type="character" w:customStyle="1" w:styleId="highlight">
    <w:name w:val="highlight"/>
    <w:basedOn w:val="a0"/>
    <w:rsid w:val="00024C73"/>
  </w:style>
  <w:style w:type="character" w:customStyle="1" w:styleId="jrnl">
    <w:name w:val="jrnl"/>
    <w:basedOn w:val="a0"/>
    <w:rsid w:val="008C3E49"/>
  </w:style>
  <w:style w:type="paragraph" w:customStyle="1" w:styleId="desc2">
    <w:name w:val="desc2"/>
    <w:basedOn w:val="a"/>
    <w:rsid w:val="008C3E49"/>
    <w:pPr>
      <w:widowControl/>
    </w:pPr>
    <w:rPr>
      <w:rFonts w:ascii="ＭＳ Ｐゴシック" w:eastAsia="ＭＳ Ｐゴシック" w:hAnsi="ＭＳ Ｐゴシック" w:cs="ＭＳ Ｐゴシック"/>
      <w:sz w:val="26"/>
      <w:szCs w:val="2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?term=Negoro%20S%5BAuthor%5D&amp;cauthor=true&amp;cauthor_uid=27529542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2496211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Nagai%20K%5BAuthor%5D&amp;cauthor=true&amp;cauthor_uid=2496211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29188330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www.ncbi.nlm.nih.gov/pubmed/27529542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根来誠司</cp:lastModifiedBy>
  <cp:revision>2</cp:revision>
  <dcterms:created xsi:type="dcterms:W3CDTF">2018-03-29T07:23:00Z</dcterms:created>
  <dcterms:modified xsi:type="dcterms:W3CDTF">2018-03-29T07:23:00Z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