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C1E" w:rsidRDefault="00445C1E" w:rsidP="00445C1E">
      <w:pPr>
        <w:spacing w:after="0" w:line="360" w:lineRule="auto"/>
        <w:jc w:val="center"/>
        <w:rPr>
          <w:rFonts w:ascii="Verdana" w:eastAsia="Times New Roman" w:hAnsi="Verdana" w:cs="Times New Roman"/>
          <w:b/>
          <w:bCs/>
          <w:color w:val="0070C0"/>
          <w:sz w:val="24"/>
          <w:szCs w:val="24"/>
          <w:lang w:bidi="ar-AE"/>
        </w:rPr>
      </w:pPr>
      <w:bookmarkStart w:id="0" w:name="_GoBack"/>
      <w:bookmarkEnd w:id="0"/>
    </w:p>
    <w:p w:rsidR="00445C1E" w:rsidRDefault="00445C1E" w:rsidP="00445C1E">
      <w:pPr>
        <w:spacing w:after="0" w:line="360" w:lineRule="auto"/>
        <w:jc w:val="center"/>
        <w:rPr>
          <w:rFonts w:ascii="Verdana" w:eastAsia="Times New Roman" w:hAnsi="Verdana" w:cs="Times New Roman"/>
          <w:b/>
          <w:bCs/>
          <w:color w:val="0070C0"/>
          <w:sz w:val="24"/>
          <w:szCs w:val="24"/>
          <w:lang w:bidi="ar-AE"/>
        </w:rPr>
      </w:pPr>
      <w:r>
        <w:rPr>
          <w:rFonts w:ascii="Verdana" w:eastAsia="Times New Roman" w:hAnsi="Verdana" w:cs="Times New Roman"/>
          <w:b/>
          <w:bCs/>
          <w:color w:val="0070C0"/>
          <w:sz w:val="24"/>
          <w:szCs w:val="24"/>
          <w:lang w:bidi="ar-AE"/>
        </w:rPr>
        <w:t>Gaps and lapse in population based childhood   vaccination coverage, lessons learned for building national capacity</w:t>
      </w:r>
    </w:p>
    <w:p w:rsidR="00445C1E" w:rsidRDefault="00445C1E" w:rsidP="00445C1E">
      <w:pPr>
        <w:spacing w:line="360" w:lineRule="auto"/>
        <w:jc w:val="both"/>
        <w:rPr>
          <w:rFonts w:ascii="Times New Roman" w:hAnsi="Times New Roman" w:cs="Times New Roman"/>
          <w:b/>
          <w:bCs/>
          <w:color w:val="7030A0"/>
          <w:sz w:val="24"/>
          <w:szCs w:val="24"/>
        </w:rPr>
      </w:pPr>
    </w:p>
    <w:p w:rsidR="00445C1E" w:rsidRDefault="00445C1E" w:rsidP="00445C1E">
      <w:pPr>
        <w:pStyle w:val="02-PSF-Author"/>
        <w:spacing w:line="360" w:lineRule="auto"/>
        <w:ind w:right="-41"/>
        <w:jc w:val="both"/>
        <w:rPr>
          <w:rFonts w:ascii="Times New Roman" w:hAnsi="Times New Roman"/>
          <w:szCs w:val="24"/>
          <w:lang w:bidi="ar-AE"/>
        </w:rPr>
      </w:pPr>
      <w:r>
        <w:rPr>
          <w:rFonts w:ascii="Times New Roman" w:hAnsi="Times New Roman"/>
          <w:szCs w:val="24"/>
          <w:lang w:bidi="ar-AE"/>
        </w:rPr>
        <w:t>Taryam MMO</w:t>
      </w:r>
      <w:r>
        <w:rPr>
          <w:rFonts w:ascii="Times New Roman" w:hAnsi="Times New Roman"/>
          <w:szCs w:val="24"/>
          <w:vertAlign w:val="superscript"/>
          <w:lang w:bidi="ar-AE"/>
        </w:rPr>
        <w:t>1</w:t>
      </w:r>
      <w:r>
        <w:rPr>
          <w:rFonts w:ascii="Times New Roman" w:hAnsi="Times New Roman"/>
          <w:szCs w:val="24"/>
          <w:lang w:bidi="ar-AE"/>
        </w:rPr>
        <w:t>, Al Faisal W</w:t>
      </w:r>
      <w:r>
        <w:rPr>
          <w:rFonts w:ascii="Times New Roman" w:hAnsi="Times New Roman"/>
          <w:szCs w:val="24"/>
          <w:vertAlign w:val="superscript"/>
          <w:lang w:bidi="ar-AE"/>
        </w:rPr>
        <w:t>2</w:t>
      </w:r>
      <w:r>
        <w:rPr>
          <w:rFonts w:ascii="Times New Roman" w:eastAsia="Times New Roman" w:hAnsi="Times New Roman"/>
          <w:szCs w:val="24"/>
          <w:vertAlign w:val="superscript"/>
          <w:lang w:bidi="ar-AE"/>
        </w:rPr>
        <w:t xml:space="preserve"> *</w:t>
      </w:r>
      <w:r>
        <w:rPr>
          <w:rFonts w:ascii="Times New Roman" w:eastAsia="Times New Roman" w:hAnsi="Times New Roman"/>
          <w:szCs w:val="24"/>
          <w:lang w:bidi="ar-AE"/>
        </w:rPr>
        <w:t>,</w:t>
      </w:r>
      <w:r>
        <w:rPr>
          <w:rFonts w:ascii="Times New Roman" w:hAnsi="Times New Roman"/>
          <w:szCs w:val="24"/>
          <w:vertAlign w:val="superscript"/>
          <w:lang w:bidi="ar-AE"/>
        </w:rPr>
        <w:t xml:space="preserve"> </w:t>
      </w:r>
      <w:r>
        <w:rPr>
          <w:rFonts w:ascii="Times New Roman" w:hAnsi="Times New Roman"/>
          <w:szCs w:val="24"/>
          <w:lang w:bidi="ar-AE"/>
        </w:rPr>
        <w:t>Hussein HY</w:t>
      </w:r>
      <w:r>
        <w:rPr>
          <w:rFonts w:ascii="Times New Roman" w:eastAsia="Times New Roman" w:hAnsi="Times New Roman"/>
          <w:szCs w:val="24"/>
          <w:vertAlign w:val="superscript"/>
          <w:lang w:bidi="ar-AE"/>
        </w:rPr>
        <w:t>2</w:t>
      </w:r>
      <w:r>
        <w:rPr>
          <w:rFonts w:ascii="Times New Roman" w:hAnsi="Times New Roman"/>
          <w:szCs w:val="24"/>
          <w:lang w:bidi="ar-AE"/>
        </w:rPr>
        <w:t>,</w:t>
      </w:r>
      <w:r>
        <w:rPr>
          <w:rFonts w:ascii="Times New Roman" w:hAnsi="Times New Roman"/>
          <w:szCs w:val="24"/>
        </w:rPr>
        <w:t xml:space="preserve"> </w:t>
      </w:r>
      <w:r>
        <w:rPr>
          <w:rFonts w:ascii="Times New Roman" w:eastAsia="Times New Roman" w:hAnsi="Times New Roman"/>
          <w:szCs w:val="24"/>
          <w:lang w:bidi="ar-AE"/>
        </w:rPr>
        <w:t>Wasfy AS</w:t>
      </w:r>
      <w:r>
        <w:rPr>
          <w:rFonts w:ascii="Times New Roman" w:eastAsia="Times New Roman" w:hAnsi="Times New Roman"/>
          <w:szCs w:val="24"/>
          <w:vertAlign w:val="superscript"/>
          <w:lang w:bidi="ar-AE"/>
        </w:rPr>
        <w:t>3</w:t>
      </w:r>
      <w:r>
        <w:rPr>
          <w:rFonts w:ascii="Times New Roman" w:eastAsia="Times New Roman" w:hAnsi="Times New Roman"/>
          <w:szCs w:val="24"/>
          <w:lang w:bidi="ar-AE"/>
        </w:rPr>
        <w:t>,</w:t>
      </w:r>
      <w:r>
        <w:rPr>
          <w:rFonts w:ascii="Times New Roman" w:hAnsi="Times New Roman"/>
          <w:szCs w:val="24"/>
          <w:lang w:bidi="ar-AE"/>
        </w:rPr>
        <w:t>AlSalaq A</w:t>
      </w:r>
      <w:r>
        <w:rPr>
          <w:rFonts w:ascii="Times New Roman" w:eastAsia="Times New Roman" w:hAnsi="Times New Roman"/>
          <w:szCs w:val="24"/>
          <w:vertAlign w:val="superscript"/>
          <w:lang w:bidi="ar-AE"/>
        </w:rPr>
        <w:t>4</w:t>
      </w:r>
      <w:r>
        <w:rPr>
          <w:rFonts w:ascii="Times New Roman" w:eastAsia="Times New Roman" w:hAnsi="Times New Roman"/>
          <w:szCs w:val="24"/>
          <w:lang w:bidi="ar-AE"/>
        </w:rPr>
        <w:t xml:space="preserve"> </w:t>
      </w:r>
    </w:p>
    <w:p w:rsidR="00445C1E" w:rsidRDefault="00445C1E" w:rsidP="00445C1E">
      <w:pPr>
        <w:pStyle w:val="03-PSF-Affiliation"/>
        <w:spacing w:line="360" w:lineRule="auto"/>
        <w:jc w:val="both"/>
        <w:rPr>
          <w:sz w:val="24"/>
          <w:szCs w:val="24"/>
          <w:vertAlign w:val="superscript"/>
          <w:lang w:bidi="ar-AE"/>
        </w:rPr>
      </w:pPr>
      <w:bookmarkStart w:id="1" w:name="OLE_LINK14"/>
      <w:bookmarkStart w:id="2" w:name="OLE_LINK13"/>
      <w:r>
        <w:rPr>
          <w:sz w:val="24"/>
          <w:szCs w:val="24"/>
          <w:vertAlign w:val="superscript"/>
          <w:lang w:bidi="ar-AE"/>
        </w:rPr>
        <w:t xml:space="preserve">1 </w:t>
      </w:r>
      <w:r>
        <w:rPr>
          <w:sz w:val="24"/>
          <w:szCs w:val="24"/>
          <w:lang w:bidi="ar-AE"/>
        </w:rPr>
        <w:t>Primary Health Care Services Sector, Dubai Health Authority, Dubai, UAE</w:t>
      </w:r>
    </w:p>
    <w:p w:rsidR="00445C1E" w:rsidRDefault="00445C1E" w:rsidP="00445C1E">
      <w:pPr>
        <w:pStyle w:val="03-PSF-Affiliation"/>
        <w:spacing w:line="360" w:lineRule="auto"/>
        <w:jc w:val="both"/>
        <w:rPr>
          <w:sz w:val="24"/>
          <w:szCs w:val="24"/>
          <w:lang w:bidi="ar-AE"/>
        </w:rPr>
      </w:pPr>
      <w:r>
        <w:rPr>
          <w:sz w:val="24"/>
          <w:szCs w:val="24"/>
          <w:vertAlign w:val="superscript"/>
          <w:lang w:bidi="ar-AE"/>
        </w:rPr>
        <w:t xml:space="preserve">2 </w:t>
      </w:r>
      <w:r>
        <w:rPr>
          <w:sz w:val="24"/>
          <w:szCs w:val="24"/>
          <w:lang w:bidi="ar-AE"/>
        </w:rPr>
        <w:t>Health Affairs Department, Primary Health Care Services Sector, Dubai Health Authority, Dubai, UAE</w:t>
      </w:r>
    </w:p>
    <w:p w:rsidR="00445C1E" w:rsidRDefault="00445C1E" w:rsidP="00445C1E">
      <w:pPr>
        <w:pStyle w:val="03-PSF-Affiliation"/>
        <w:spacing w:line="360" w:lineRule="auto"/>
        <w:jc w:val="both"/>
        <w:rPr>
          <w:sz w:val="24"/>
          <w:szCs w:val="24"/>
          <w:lang w:bidi="ar-AE"/>
        </w:rPr>
      </w:pPr>
      <w:r>
        <w:rPr>
          <w:sz w:val="24"/>
          <w:szCs w:val="24"/>
          <w:vertAlign w:val="superscript"/>
          <w:lang w:bidi="ar-AE"/>
        </w:rPr>
        <w:t>3</w:t>
      </w:r>
      <w:r>
        <w:rPr>
          <w:sz w:val="24"/>
          <w:szCs w:val="24"/>
          <w:lang w:bidi="ar-AE"/>
        </w:rPr>
        <w:t xml:space="preserve"> Dubai Health Authority, Dubai, UAE</w:t>
      </w:r>
    </w:p>
    <w:p w:rsidR="00445C1E" w:rsidRDefault="00445C1E" w:rsidP="00445C1E">
      <w:pPr>
        <w:pStyle w:val="03-PSF-Affiliation"/>
        <w:spacing w:line="360" w:lineRule="auto"/>
        <w:jc w:val="both"/>
        <w:rPr>
          <w:sz w:val="24"/>
          <w:szCs w:val="24"/>
          <w:lang w:bidi="ar-AE"/>
        </w:rPr>
      </w:pPr>
      <w:r>
        <w:rPr>
          <w:sz w:val="24"/>
          <w:szCs w:val="24"/>
          <w:vertAlign w:val="superscript"/>
          <w:lang w:bidi="ar-AE"/>
        </w:rPr>
        <w:t>4</w:t>
      </w:r>
      <w:r>
        <w:rPr>
          <w:sz w:val="24"/>
          <w:szCs w:val="24"/>
          <w:lang w:bidi="ar-AE"/>
        </w:rPr>
        <w:t xml:space="preserve"> Dubai Statistics Center, Dubai, UAE</w:t>
      </w:r>
    </w:p>
    <w:bookmarkEnd w:id="1"/>
    <w:bookmarkEnd w:id="2"/>
    <w:p w:rsidR="00445C1E" w:rsidRDefault="00445C1E" w:rsidP="00445C1E">
      <w:pPr>
        <w:pStyle w:val="11-PSF-Correspondingauthor"/>
        <w:spacing w:line="360" w:lineRule="auto"/>
        <w:jc w:val="both"/>
        <w:rPr>
          <w:b/>
          <w:bCs/>
          <w:noProof w:val="0"/>
          <w:color w:val="0070C0"/>
          <w:kern w:val="0"/>
          <w:sz w:val="24"/>
          <w:szCs w:val="24"/>
          <w:lang w:val="en-US" w:eastAsia="en-US" w:bidi="ar-AE"/>
        </w:rPr>
      </w:pPr>
    </w:p>
    <w:p w:rsidR="00445C1E" w:rsidRDefault="00445C1E" w:rsidP="00445C1E">
      <w:pPr>
        <w:pStyle w:val="11-PSF-Correspondingauthor"/>
        <w:spacing w:line="360" w:lineRule="auto"/>
        <w:ind w:right="-183"/>
        <w:jc w:val="both"/>
        <w:rPr>
          <w:b/>
          <w:bCs/>
          <w:color w:val="0070C0"/>
          <w:sz w:val="24"/>
          <w:szCs w:val="24"/>
          <w:lang w:val="en-US" w:eastAsia="en-US" w:bidi="ar-AE"/>
        </w:rPr>
      </w:pPr>
      <w:r>
        <w:rPr>
          <w:b/>
          <w:bCs/>
          <w:noProof w:val="0"/>
          <w:color w:val="0070C0"/>
          <w:kern w:val="0"/>
          <w:sz w:val="24"/>
          <w:szCs w:val="24"/>
          <w:lang w:val="en-US" w:eastAsia="en-US" w:bidi="ar-AE"/>
        </w:rPr>
        <w:t>* Corresponding Author e-mail address:</w:t>
      </w:r>
      <w:r>
        <w:rPr>
          <w:noProof w:val="0"/>
          <w:kern w:val="0"/>
          <w:sz w:val="24"/>
          <w:szCs w:val="24"/>
          <w:lang w:val="en-US" w:eastAsia="en-US"/>
        </w:rPr>
        <w:t xml:space="preserve"> </w:t>
      </w:r>
      <w:hyperlink r:id="rId4" w:history="1">
        <w:r>
          <w:rPr>
            <w:rStyle w:val="Hyperlink"/>
            <w:b/>
            <w:bCs/>
            <w:color w:val="0070C0"/>
            <w:sz w:val="24"/>
            <w:szCs w:val="24"/>
            <w:u w:val="none"/>
            <w:lang w:bidi="ar-AE"/>
          </w:rPr>
          <w:t>wldalfaisal@gmail.com</w:t>
        </w:r>
      </w:hyperlink>
    </w:p>
    <w:p w:rsidR="00445C1E" w:rsidRDefault="00445C1E" w:rsidP="00445C1E">
      <w:pPr>
        <w:pStyle w:val="11-PSF-Correspondingauthor"/>
        <w:spacing w:line="360" w:lineRule="auto"/>
        <w:jc w:val="both"/>
        <w:rPr>
          <w:noProof w:val="0"/>
          <w:kern w:val="0"/>
          <w:sz w:val="24"/>
          <w:szCs w:val="24"/>
          <w:lang w:val="en-US" w:eastAsia="en-US"/>
        </w:rPr>
      </w:pPr>
      <w:r>
        <w:rPr>
          <w:b/>
          <w:bCs/>
          <w:color w:val="0070C0"/>
          <w:sz w:val="24"/>
          <w:szCs w:val="24"/>
          <w:lang w:bidi="ar-AE"/>
        </w:rPr>
        <w:t xml:space="preserve">Key Words: </w:t>
      </w:r>
      <w:r>
        <w:rPr>
          <w:sz w:val="24"/>
          <w:szCs w:val="24"/>
        </w:rPr>
        <w:t xml:space="preserve"> Gaps, vaccination, Building national capacity</w:t>
      </w:r>
    </w:p>
    <w:p w:rsidR="00445C1E" w:rsidRDefault="00445C1E" w:rsidP="00445C1E">
      <w:pPr>
        <w:spacing w:line="360" w:lineRule="auto"/>
        <w:jc w:val="both"/>
        <w:rPr>
          <w:sz w:val="24"/>
          <w:szCs w:val="24"/>
        </w:rPr>
      </w:pPr>
      <w:r>
        <w:rPr>
          <w:b/>
          <w:bCs/>
          <w:noProof/>
          <w:color w:val="0070C0"/>
          <w:kern w:val="2"/>
          <w:sz w:val="24"/>
          <w:szCs w:val="24"/>
          <w:lang w:val="en-GB" w:eastAsia="zh-CN" w:bidi="ar-AE"/>
        </w:rPr>
        <w:t>Conflict of Interest:</w:t>
      </w:r>
      <w:r>
        <w:rPr>
          <w:b/>
          <w:bCs/>
          <w:color w:val="0070C0"/>
          <w:sz w:val="24"/>
          <w:szCs w:val="24"/>
          <w:lang w:val="en-GB" w:bidi="ar-AE"/>
        </w:rPr>
        <w:t xml:space="preserve"> </w:t>
      </w:r>
      <w:r>
        <w:rPr>
          <w:sz w:val="24"/>
          <w:szCs w:val="24"/>
        </w:rPr>
        <w:t>The authors declare that they do not have any conflict of interest.</w:t>
      </w:r>
    </w:p>
    <w:p w:rsidR="00445C1E" w:rsidRDefault="00445C1E" w:rsidP="00445C1E">
      <w:pPr>
        <w:spacing w:line="360" w:lineRule="auto"/>
        <w:jc w:val="both"/>
        <w:rPr>
          <w:rFonts w:ascii="Times New Roman" w:hAnsi="Times New Roman" w:cs="Times New Roman"/>
          <w:b/>
          <w:bCs/>
          <w:color w:val="7030A0"/>
          <w:sz w:val="24"/>
          <w:szCs w:val="24"/>
        </w:rPr>
      </w:pPr>
    </w:p>
    <w:p w:rsidR="00445C1E" w:rsidRDefault="00445C1E" w:rsidP="00445C1E">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Abstract  </w:t>
      </w:r>
    </w:p>
    <w:p w:rsidR="00445C1E" w:rsidRDefault="00445C1E" w:rsidP="00445C1E">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Background: </w:t>
      </w:r>
      <w:r>
        <w:rPr>
          <w:rFonts w:ascii="Times New Roman" w:hAnsi="Times New Roman" w:cs="Times New Roman"/>
          <w:sz w:val="24"/>
          <w:szCs w:val="24"/>
        </w:rPr>
        <w:t>The best way to protect children from 14 serious childhood diseases is to maintain the recommended immunization periodicity and administer all of the recommended immunizations by age. A number of barriers to immunization have been identified as the primary reasons.  Overall, parents and caregivers believe  that vaccines are necessary to prevent disease and are important to children’s health, but a common misconception is  that multiple vaccines can overwhelm the immune system</w:t>
      </w:r>
      <w:r>
        <w:rPr>
          <w:rFonts w:ascii="Times New Roman" w:hAnsi="Times New Roman" w:cs="Times New Roman"/>
          <w:b/>
          <w:bCs/>
          <w:sz w:val="24"/>
          <w:szCs w:val="24"/>
        </w:rPr>
        <w:t>.</w:t>
      </w:r>
    </w:p>
    <w:p w:rsidR="00445C1E" w:rsidRDefault="00445C1E" w:rsidP="00445C1E">
      <w:pPr>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Objectives: </w:t>
      </w:r>
      <w:r>
        <w:rPr>
          <w:rFonts w:ascii="Times New Roman" w:hAnsi="Times New Roman" w:cs="Times New Roman"/>
          <w:sz w:val="24"/>
          <w:szCs w:val="24"/>
        </w:rPr>
        <w:t>To study the immunization coverage among childhood population in Dubai, and to identify the gaps and lapse in immunizations process in Dubai</w:t>
      </w:r>
      <w:r>
        <w:rPr>
          <w:rFonts w:ascii="Times New Roman" w:hAnsi="Times New Roman" w:cs="Times New Roman"/>
          <w:b/>
          <w:bCs/>
          <w:sz w:val="24"/>
          <w:szCs w:val="24"/>
        </w:rPr>
        <w:t>.</w:t>
      </w:r>
    </w:p>
    <w:p w:rsidR="00445C1E" w:rsidRDefault="00445C1E" w:rsidP="00445C1E">
      <w:pPr>
        <w:autoSpaceDE w:val="0"/>
        <w:autoSpaceDN w:val="0"/>
        <w:adjustRightInd w:val="0"/>
        <w:spacing w:after="0" w:line="360" w:lineRule="auto"/>
        <w:jc w:val="both"/>
        <w:rPr>
          <w:rFonts w:ascii="Times New Roman" w:hAnsi="Times New Roman" w:cs="Times New Roman"/>
          <w:b/>
          <w:bCs/>
          <w:sz w:val="24"/>
          <w:szCs w:val="24"/>
        </w:rPr>
      </w:pPr>
    </w:p>
    <w:p w:rsidR="00445C1E" w:rsidRDefault="00445C1E" w:rsidP="00445C1E">
      <w:pPr>
        <w:autoSpaceDE w:val="0"/>
        <w:autoSpaceDN w:val="0"/>
        <w:adjustRightInd w:val="0"/>
        <w:spacing w:after="0" w:line="360" w:lineRule="auto"/>
        <w:jc w:val="both"/>
        <w:rPr>
          <w:rFonts w:ascii="Times New Roman" w:eastAsia="Arial Unicode MS" w:hAnsi="Times New Roman" w:cs="Times New Roman"/>
          <w:w w:val="116"/>
          <w:sz w:val="24"/>
          <w:szCs w:val="24"/>
        </w:rPr>
      </w:pPr>
      <w:r>
        <w:rPr>
          <w:rFonts w:ascii="Times New Roman" w:hAnsi="Times New Roman" w:cs="Times New Roman"/>
          <w:b/>
          <w:bCs/>
          <w:sz w:val="24"/>
          <w:szCs w:val="24"/>
        </w:rPr>
        <w:t xml:space="preserve">Methods: </w:t>
      </w:r>
      <w:r>
        <w:rPr>
          <w:rFonts w:ascii="Times New Roman" w:hAnsi="Times New Roman" w:cs="Times New Roman"/>
          <w:sz w:val="24"/>
          <w:szCs w:val="24"/>
        </w:rPr>
        <w:t>Dubai Household Health Survey</w:t>
      </w:r>
      <w:r>
        <w:rPr>
          <w:rFonts w:ascii="Times New Roman" w:eastAsia="Arial Unicode MS" w:hAnsi="Times New Roman" w:cs="Times New Roman"/>
          <w:w w:val="116"/>
          <w:sz w:val="24"/>
          <w:szCs w:val="24"/>
        </w:rPr>
        <w:t xml:space="preserve"> was conducted in 2014 as a Cross-sectional, multistage, stratified, Cluster survey. Houses were visited to obtain detailed information on the different health-related issues, one of them is </w:t>
      </w:r>
      <w:r>
        <w:rPr>
          <w:rFonts w:ascii="Times New Roman" w:eastAsia="Arial Unicode MS" w:hAnsi="Times New Roman" w:cs="Times New Roman"/>
          <w:w w:val="116"/>
          <w:sz w:val="24"/>
          <w:szCs w:val="24"/>
        </w:rPr>
        <w:lastRenderedPageBreak/>
        <w:t>vaccination coverage. According to Dubai Statistical center, the total population of Dubai at the end of 2014 was 2327350 (males 1613175, females 714175) (UAE 212000, Expatriates 2115350). Children aged below five years of age</w:t>
      </w:r>
      <w:r>
        <w:rPr>
          <w:rFonts w:ascii="Times New Roman" w:hAnsi="Times New Roman" w:cs="Times New Roman"/>
          <w:sz w:val="24"/>
          <w:szCs w:val="24"/>
          <w:shd w:val="clear" w:color="auto" w:fill="FFFFFF"/>
        </w:rPr>
        <w:t xml:space="preserve"> </w:t>
      </w:r>
      <w:r>
        <w:rPr>
          <w:rFonts w:ascii="Times New Roman" w:eastAsia="Arial Unicode MS" w:hAnsi="Times New Roman" w:cs="Times New Roman"/>
          <w:w w:val="116"/>
          <w:sz w:val="24"/>
          <w:szCs w:val="24"/>
        </w:rPr>
        <w:t>were investigated for immunization coverage according to expanded immunization national program requirements. All children vaccination registry booklet were inspected and questionnaire with socio-demographic as well as other health related set of data were collected by well-trained data collectors from the field. Data were analysed using SPSS 21.</w:t>
      </w:r>
    </w:p>
    <w:p w:rsidR="00445C1E" w:rsidRDefault="00445C1E" w:rsidP="00445C1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Results</w:t>
      </w:r>
      <w:r>
        <w:rPr>
          <w:rFonts w:ascii="Times New Roman" w:hAnsi="Times New Roman" w:cs="Times New Roman"/>
          <w:b/>
          <w:bCs/>
          <w:color w:val="7030A0"/>
          <w:sz w:val="24"/>
          <w:szCs w:val="24"/>
        </w:rPr>
        <w:t xml:space="preserve">:   </w:t>
      </w:r>
      <w:r>
        <w:rPr>
          <w:rFonts w:ascii="Times New Roman" w:hAnsi="Times New Roman" w:cs="Times New Roman"/>
          <w:sz w:val="24"/>
          <w:szCs w:val="24"/>
        </w:rPr>
        <w:t xml:space="preserve">The study revealed that the total vaccination coverage rate for the children  below 5 years of age with  EPI  vaccine requirements in Dubai  (Both Male and Female, UAE nationals and Expatriate)  was 83.1% as shown  by table 1, about 83.5% for </w:t>
      </w:r>
      <w:r>
        <w:rPr>
          <w:rFonts w:ascii="Times New Roman" w:eastAsia="Times New Roman" w:hAnsi="Times New Roman" w:cs="Times New Roman"/>
          <w:color w:val="000000"/>
          <w:sz w:val="24"/>
          <w:szCs w:val="24"/>
        </w:rPr>
        <w:t>Emirati</w:t>
      </w:r>
      <w:r>
        <w:rPr>
          <w:rFonts w:ascii="Times New Roman" w:hAnsi="Times New Roman" w:cs="Times New Roman"/>
          <w:sz w:val="24"/>
          <w:szCs w:val="24"/>
        </w:rPr>
        <w:t xml:space="preserve"> and 82.5% coverage for expatriate. The total coverage rate among </w:t>
      </w:r>
      <w:r>
        <w:rPr>
          <w:rFonts w:ascii="Times New Roman" w:eastAsia="Times New Roman" w:hAnsi="Times New Roman" w:cs="Times New Roman"/>
          <w:color w:val="000000"/>
          <w:sz w:val="24"/>
          <w:szCs w:val="24"/>
        </w:rPr>
        <w:t>Emirati</w:t>
      </w:r>
      <w:r>
        <w:rPr>
          <w:rFonts w:ascii="Times New Roman" w:hAnsi="Times New Roman" w:cs="Times New Roman"/>
          <w:sz w:val="24"/>
          <w:szCs w:val="24"/>
        </w:rPr>
        <w:t xml:space="preserve"> males was 81.8%, while among </w:t>
      </w:r>
      <w:r>
        <w:rPr>
          <w:rFonts w:ascii="Times New Roman" w:eastAsia="Times New Roman" w:hAnsi="Times New Roman" w:cs="Times New Roman"/>
          <w:color w:val="000000"/>
          <w:sz w:val="24"/>
          <w:szCs w:val="24"/>
        </w:rPr>
        <w:t>Emirati</w:t>
      </w:r>
      <w:r>
        <w:rPr>
          <w:rFonts w:ascii="Times New Roman" w:hAnsi="Times New Roman" w:cs="Times New Roman"/>
          <w:sz w:val="24"/>
          <w:szCs w:val="24"/>
        </w:rPr>
        <w:t xml:space="preserve"> females it was 85.1%, while it was equally distributed as per male and female coverage rate among Expatriates (82.5%). </w:t>
      </w:r>
    </w:p>
    <w:p w:rsidR="00445C1E" w:rsidRDefault="00445C1E" w:rsidP="00445C1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 xml:space="preserve">Conclusion: </w:t>
      </w:r>
      <w:r>
        <w:rPr>
          <w:rFonts w:ascii="Times New Roman" w:hAnsi="Times New Roman" w:cs="Times New Roman"/>
          <w:sz w:val="24"/>
          <w:szCs w:val="24"/>
        </w:rPr>
        <w:t xml:space="preserve">The study concluded that there are still significant gaps and lapse in immunization coverage regardless of the huge health system efforts to targeting children population with adequate and recommended vaccines. Increased anxiety about the effects and pain associated with multiple injections may be the causes behind those gaps. Additionally, the large number of routine vaccines has made it increasingly difficult for parents to track and ensure adequate, timely administration. Frequent catch up vaccination campaigns needs to be activated to bridging the gaps in immunizations coverage along with strengthening the immunization surveillance system. </w:t>
      </w:r>
    </w:p>
    <w:p w:rsidR="00445C1E" w:rsidRDefault="00445C1E" w:rsidP="00445C1E">
      <w:pPr>
        <w:autoSpaceDE w:val="0"/>
        <w:autoSpaceDN w:val="0"/>
        <w:adjustRightInd w:val="0"/>
        <w:spacing w:after="0" w:line="360" w:lineRule="auto"/>
        <w:jc w:val="both"/>
        <w:rPr>
          <w:rFonts w:ascii="Times New Roman" w:hAnsi="Times New Roman" w:cs="Times New Roman"/>
          <w:b/>
          <w:bCs/>
          <w:color w:val="7030A0"/>
          <w:sz w:val="24"/>
          <w:szCs w:val="24"/>
        </w:rPr>
      </w:pPr>
    </w:p>
    <w:p w:rsidR="00445C1E" w:rsidRDefault="00445C1E" w:rsidP="00445C1E">
      <w:pPr>
        <w:rPr>
          <w:rFonts w:ascii="Times New Roman" w:hAnsi="Times New Roman" w:cs="Times New Roman"/>
          <w:b/>
          <w:bCs/>
          <w:color w:val="7030A0"/>
          <w:sz w:val="24"/>
          <w:szCs w:val="24"/>
        </w:rPr>
      </w:pPr>
      <w:r>
        <w:rPr>
          <w:rFonts w:ascii="Times New Roman" w:hAnsi="Times New Roman" w:cs="Times New Roman"/>
          <w:b/>
          <w:bCs/>
          <w:color w:val="7030A0"/>
          <w:sz w:val="24"/>
          <w:szCs w:val="24"/>
        </w:rPr>
        <w:br w:type="page"/>
      </w:r>
    </w:p>
    <w:p w:rsidR="00A06F8D" w:rsidRDefault="00A06F8D"/>
    <w:sectPr w:rsidR="00A06F8D" w:rsidSect="00A06F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45C1E"/>
    <w:rsid w:val="00445C1E"/>
    <w:rsid w:val="00A06F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C1E"/>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PSF-Author">
    <w:name w:val="02-PSF-Author"/>
    <w:basedOn w:val="Normal"/>
    <w:qFormat/>
    <w:rsid w:val="00445C1E"/>
    <w:pPr>
      <w:widowControl w:val="0"/>
      <w:adjustRightInd w:val="0"/>
      <w:snapToGrid w:val="0"/>
      <w:spacing w:before="240" w:after="240" w:line="240" w:lineRule="auto"/>
    </w:pPr>
    <w:rPr>
      <w:rFonts w:ascii="Verdana" w:eastAsia="Verdana" w:hAnsi="Verdana" w:cs="Times New Roman"/>
      <w:b/>
      <w:color w:val="365F91"/>
      <w:kern w:val="2"/>
      <w:sz w:val="24"/>
      <w:lang w:val="en-GB" w:eastAsia="zh-CN"/>
    </w:rPr>
  </w:style>
  <w:style w:type="paragraph" w:customStyle="1" w:styleId="03-PSF-Affiliation">
    <w:name w:val="03-PSF-Affiliation"/>
    <w:basedOn w:val="Normal"/>
    <w:qFormat/>
    <w:rsid w:val="00445C1E"/>
    <w:pPr>
      <w:widowControl w:val="0"/>
      <w:adjustRightInd w:val="0"/>
      <w:snapToGrid w:val="0"/>
      <w:spacing w:after="0" w:line="240" w:lineRule="exact"/>
    </w:pPr>
    <w:rPr>
      <w:rFonts w:ascii="Times New Roman" w:eastAsia="Times New Roman" w:hAnsi="Times New Roman" w:cs="Times New Roman"/>
      <w:kern w:val="2"/>
      <w:sz w:val="17"/>
      <w:lang w:val="en-GB" w:eastAsia="zh-CN"/>
    </w:rPr>
  </w:style>
  <w:style w:type="paragraph" w:customStyle="1" w:styleId="11-PSF-Correspondingauthor">
    <w:name w:val="11-PSF-Corresponding author"/>
    <w:basedOn w:val="Normal"/>
    <w:qFormat/>
    <w:rsid w:val="00445C1E"/>
    <w:pPr>
      <w:widowControl w:val="0"/>
      <w:adjustRightInd w:val="0"/>
      <w:snapToGrid w:val="0"/>
      <w:spacing w:after="0" w:line="200" w:lineRule="exact"/>
    </w:pPr>
    <w:rPr>
      <w:rFonts w:ascii="Times New Roman" w:eastAsia="Times New Roman" w:hAnsi="Times New Roman" w:cs="Times New Roman"/>
      <w:noProof/>
      <w:kern w:val="2"/>
      <w:sz w:val="15"/>
      <w:lang w:val="en-GB" w:eastAsia="zh-CN"/>
    </w:rPr>
  </w:style>
  <w:style w:type="character" w:styleId="Hyperlink">
    <w:name w:val="Hyperlink"/>
    <w:basedOn w:val="DefaultParagraphFont"/>
    <w:uiPriority w:val="99"/>
    <w:semiHidden/>
    <w:unhideWhenUsed/>
    <w:rsid w:val="00445C1E"/>
    <w:rPr>
      <w:color w:val="0000FF"/>
      <w:u w:val="single"/>
    </w:rPr>
  </w:style>
</w:styles>
</file>

<file path=word/webSettings.xml><?xml version="1.0" encoding="utf-8"?>
<w:webSettings xmlns:r="http://schemas.openxmlformats.org/officeDocument/2006/relationships" xmlns:w="http://schemas.openxmlformats.org/wordprocessingml/2006/main">
  <w:divs>
    <w:div w:id="1067269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wldalfaisal@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494</Words>
  <Characters>2820</Characters>
  <Application>Microsoft Office Word</Application>
  <DocSecurity>0</DocSecurity>
  <Lines>23</Lines>
  <Paragraphs>6</Paragraphs>
  <ScaleCrop>false</ScaleCrop>
  <Company>Hewlett-Packard</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حامد</dc:creator>
  <cp:keywords/>
  <dc:description/>
  <cp:lastModifiedBy>حامد</cp:lastModifiedBy>
  <cp:revision>2</cp:revision>
  <dcterms:created xsi:type="dcterms:W3CDTF">2017-12-08T13:15:00Z</dcterms:created>
  <dcterms:modified xsi:type="dcterms:W3CDTF">2017-12-08T13:15:00Z</dcterms:modified>
</cp:coreProperties>
</file>