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A209F9" w:rsidP="00494130">
      <w:pPr>
        <w:pStyle w:val="Heading1"/>
        <w:spacing w:before="170"/>
        <w:ind w:left="0"/>
      </w:pPr>
      <w:bookmarkStart w:id="0" w:name="_GoBack"/>
      <w:r>
        <w:rPr>
          <w:color w:val="337AB7"/>
        </w:rPr>
        <w:t>Antimicrobial properties of wood material: opportunities and challe</w:t>
      </w:r>
      <w:r w:rsidR="006E20AE">
        <w:rPr>
          <w:color w:val="337AB7"/>
        </w:rPr>
        <w:t>nges for hygienically sensitive places</w:t>
      </w:r>
    </w:p>
    <w:bookmarkEnd w:id="0"/>
    <w:p w:rsidR="00A209F9" w:rsidRPr="00A209F9" w:rsidRDefault="00A209F9" w:rsidP="00A209F9">
      <w:pPr>
        <w:pStyle w:val="BodyText"/>
        <w:spacing w:before="73" w:line="198" w:lineRule="exact"/>
        <w:ind w:left="100" w:right="5987"/>
        <w:rPr>
          <w:rFonts w:ascii="Arial"/>
          <w:lang w:val="fr-FR"/>
        </w:rPr>
      </w:pPr>
      <w:r w:rsidRPr="00A209F9">
        <w:rPr>
          <w:rFonts w:ascii="Arial"/>
          <w:lang w:val="fr-FR"/>
        </w:rPr>
        <w:t xml:space="preserve">Muhammad Tanveer Munir, DVM, MS, Ecole </w:t>
      </w:r>
      <w:proofErr w:type="spellStart"/>
      <w:r>
        <w:rPr>
          <w:rFonts w:ascii="Arial"/>
          <w:lang w:val="fr-FR"/>
        </w:rPr>
        <w:t>S</w:t>
      </w:r>
      <w:r w:rsidRPr="00A209F9">
        <w:rPr>
          <w:rFonts w:ascii="Arial"/>
          <w:lang w:val="fr-FR"/>
        </w:rPr>
        <w:t>up</w:t>
      </w:r>
      <w:r>
        <w:rPr>
          <w:rFonts w:ascii="Arial"/>
          <w:lang w:val="fr-FR"/>
        </w:rPr>
        <w:t>e</w:t>
      </w:r>
      <w:r w:rsidRPr="00A209F9">
        <w:rPr>
          <w:rFonts w:ascii="Arial"/>
          <w:lang w:val="fr-FR"/>
        </w:rPr>
        <w:t>rieur</w:t>
      </w:r>
      <w:proofErr w:type="spellEnd"/>
      <w:r w:rsidRPr="00A209F9">
        <w:rPr>
          <w:rFonts w:ascii="Arial"/>
          <w:lang w:val="fr-FR"/>
        </w:rPr>
        <w:t xml:space="preserve"> du B</w:t>
      </w:r>
      <w:r>
        <w:rPr>
          <w:rFonts w:ascii="Arial"/>
          <w:lang w:val="fr-FR"/>
        </w:rPr>
        <w:t>ois</w:t>
      </w:r>
      <w:r w:rsidRPr="00A209F9">
        <w:rPr>
          <w:rFonts w:ascii="Arial"/>
          <w:lang w:val="fr-FR"/>
        </w:rPr>
        <w:t>, Nantes, France</w:t>
      </w:r>
    </w:p>
    <w:p w:rsidR="00AE3E37" w:rsidRPr="00A209F9" w:rsidRDefault="00AE3E37">
      <w:pPr>
        <w:pStyle w:val="BodyText"/>
        <w:rPr>
          <w:rFonts w:ascii="Arial"/>
          <w:sz w:val="20"/>
          <w:lang w:val="fr-FR"/>
        </w:rPr>
      </w:pPr>
    </w:p>
    <w:p w:rsidR="00AE3E37" w:rsidRPr="00A209F9" w:rsidRDefault="00AE3E37">
      <w:pPr>
        <w:pStyle w:val="BodyText"/>
        <w:spacing w:before="3"/>
        <w:rPr>
          <w:rFonts w:ascii="Arial"/>
          <w:sz w:val="21"/>
          <w:lang w:val="fr-FR"/>
        </w:rPr>
      </w:pPr>
    </w:p>
    <w:p w:rsidR="00AE3E37" w:rsidRPr="00A209F9" w:rsidRDefault="00AE3E37">
      <w:pPr>
        <w:rPr>
          <w:rFonts w:ascii="Arial"/>
          <w:sz w:val="21"/>
          <w:lang w:val="fr-FR"/>
        </w:rPr>
        <w:sectPr w:rsidR="00AE3E37" w:rsidRPr="00A209F9">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p>
    <w:p w:rsidR="00A209F9" w:rsidRDefault="00A209F9">
      <w:pPr>
        <w:pStyle w:val="BodyText"/>
        <w:spacing w:before="90" w:line="280" w:lineRule="auto"/>
        <w:ind w:left="100"/>
        <w:jc w:val="both"/>
      </w:pPr>
      <w:r w:rsidRPr="00A91D38">
        <w:rPr>
          <w:b/>
        </w:rPr>
        <w:t>Problem</w:t>
      </w:r>
      <w:r>
        <w:t>: Wood is an ecofriendly material that is traditionally used in hygienically sensitive places in the food industry and the healthcare buildings. However, the porous and organic nature of this material is questioned with a fear of supporting microbial growth</w:t>
      </w:r>
      <w:r w:rsidR="006E20AE">
        <w:t xml:space="preserve"> and harming the human and animal health</w:t>
      </w:r>
      <w:r>
        <w:t xml:space="preserve">. Therefore the aim of our investigation was to study the antimicrobial properties of solid wood material. </w:t>
      </w:r>
    </w:p>
    <w:p w:rsidR="00A91D38" w:rsidRDefault="00A9710C">
      <w:pPr>
        <w:pStyle w:val="BodyText"/>
        <w:spacing w:before="90" w:line="280" w:lineRule="auto"/>
        <w:ind w:left="100"/>
        <w:jc w:val="both"/>
      </w:pPr>
      <w:r w:rsidRPr="00A91D38">
        <w:rPr>
          <w:b/>
        </w:rPr>
        <w:t>Methodolog</w:t>
      </w:r>
      <w:r w:rsidR="008756E6" w:rsidRPr="00A91D38">
        <w:rPr>
          <w:b/>
        </w:rPr>
        <w:t>y &amp; Theoretical Orientation:</w:t>
      </w:r>
      <w:r w:rsidR="008756E6">
        <w:t xml:space="preserve"> </w:t>
      </w:r>
      <w:r w:rsidR="00A91D38">
        <w:t xml:space="preserve">We tested the antimicrobial properties of solid wood material by a direct diffusion method (antiboisgram, ‘bois’ in French means ‘wood’). Different variables of wood sterilization, species, tree, cutting methods were tested. </w:t>
      </w:r>
    </w:p>
    <w:p w:rsidR="00A91D38" w:rsidRDefault="00A9710C">
      <w:pPr>
        <w:pStyle w:val="BodyText"/>
        <w:spacing w:before="90" w:line="280" w:lineRule="auto"/>
        <w:ind w:left="100"/>
        <w:jc w:val="both"/>
      </w:pPr>
      <w:r w:rsidRPr="00A91D38">
        <w:rPr>
          <w:b/>
        </w:rPr>
        <w:t>Findings:</w:t>
      </w:r>
      <w:r w:rsidR="00A91D38">
        <w:t xml:space="preserve"> It was observed that t</w:t>
      </w:r>
      <w:r>
        <w:t>he</w:t>
      </w:r>
      <w:r w:rsidR="00404E5B">
        <w:t xml:space="preserve"> </w:t>
      </w:r>
      <w:r w:rsidR="00A91D38">
        <w:t>antimicrobial properties of wood were influenced by tested variables. Mainly, the autoclaving reduced the antimicrobial activity of solid wood material</w:t>
      </w:r>
      <w:r>
        <w:t xml:space="preserve">. </w:t>
      </w:r>
      <w:r w:rsidR="00A91D38">
        <w:t>The antimicrobial resistance status of bacterial strains and origin of tree did not affect the microbial susceptibility to the tested material.</w:t>
      </w:r>
    </w:p>
    <w:p w:rsidR="00AE3E37" w:rsidRDefault="00A9710C">
      <w:pPr>
        <w:pStyle w:val="BodyText"/>
        <w:spacing w:before="90" w:line="280" w:lineRule="auto"/>
        <w:ind w:left="100"/>
        <w:jc w:val="both"/>
      </w:pPr>
      <w:r w:rsidRPr="00A91D38">
        <w:rPr>
          <w:b/>
        </w:rPr>
        <w:t>Conclusion &amp; Significance</w:t>
      </w:r>
      <w:r>
        <w:t xml:space="preserve">: </w:t>
      </w:r>
      <w:r w:rsidR="001F74AA">
        <w:t>Solid wood has</w:t>
      </w:r>
      <w:r w:rsidR="00A91D38">
        <w:t xml:space="preserve"> antimicrobial properties which could counter the growth of many bacteria responsible for foodborne and healthcare associated infections. This investigation provided the bases for future studies for safely using wood material in hygienically sensitive places.</w:t>
      </w:r>
      <w:r w:rsidR="001F74AA">
        <w:t xml:space="preserve"> </w:t>
      </w:r>
    </w:p>
    <w:p w:rsidR="009B3C31" w:rsidRPr="009B3C31" w:rsidRDefault="009B3C31">
      <w:pPr>
        <w:pStyle w:val="BodyText"/>
        <w:spacing w:before="90" w:line="280" w:lineRule="auto"/>
        <w:ind w:left="100"/>
        <w:jc w:val="both"/>
      </w:pPr>
      <w:r w:rsidRPr="009B3C31">
        <w:t>As the wood material is used in various sectors, a cross disciplinary research (</w:t>
      </w:r>
      <w:proofErr w:type="spellStart"/>
      <w:r w:rsidRPr="009B3C31">
        <w:t>OneHealth</w:t>
      </w:r>
      <w:proofErr w:type="spellEnd"/>
      <w:r w:rsidRPr="009B3C31">
        <w:t>) could provide a win-win solution</w:t>
      </w:r>
      <w:r>
        <w:t xml:space="preserve"> as presented in the image</w:t>
      </w:r>
      <w:r w:rsidRPr="009B3C31">
        <w:t xml:space="preserve">. </w:t>
      </w:r>
    </w:p>
    <w:p w:rsidR="009B3C31" w:rsidRDefault="009B3C31" w:rsidP="009B3C31"/>
    <w:p w:rsidR="009B3C31" w:rsidRDefault="009B3C31" w:rsidP="009B3C31">
      <w:pPr>
        <w:rPr>
          <w:b/>
        </w:rPr>
      </w:pPr>
    </w:p>
    <w:p w:rsidR="009B3C31" w:rsidRDefault="009B3C31" w:rsidP="009B3C31"/>
    <w:p w:rsidR="009B3C31" w:rsidRDefault="009B3C31" w:rsidP="009B3C31"/>
    <w:p w:rsidR="009B3C31" w:rsidRDefault="009B3C31" w:rsidP="009B3C31"/>
    <w:p w:rsidR="009B3C31" w:rsidRDefault="009B3C31" w:rsidP="009B3C31"/>
    <w:p w:rsidR="009B3C31" w:rsidRDefault="009B3C31" w:rsidP="009B3C31"/>
    <w:p w:rsidR="009B3C31" w:rsidRDefault="009B3C31" w:rsidP="009B3C31">
      <w:r>
        <w:rPr>
          <w:noProof/>
        </w:rPr>
        <w:drawing>
          <wp:anchor distT="0" distB="0" distL="114300" distR="114300" simplePos="0" relativeHeight="251666432" behindDoc="1" locked="0" layoutInCell="1" allowOverlap="1">
            <wp:simplePos x="0" y="0"/>
            <wp:positionH relativeFrom="column">
              <wp:posOffset>308187</wp:posOffset>
            </wp:positionH>
            <wp:positionV relativeFrom="paragraph">
              <wp:posOffset>2116</wp:posOffset>
            </wp:positionV>
            <wp:extent cx="774700" cy="889000"/>
            <wp:effectExtent l="0" t="0" r="6350" b="635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G_20190314_120827.jpg"/>
                    <pic:cNvPicPr/>
                  </pic:nvPicPr>
                  <pic:blipFill rotWithShape="1">
                    <a:blip r:embed="rId9" cstate="print">
                      <a:extLst>
                        <a:ext uri="{28A0092B-C50C-407E-A947-70E740481C1C}">
                          <a14:useLocalDpi xmlns:a14="http://schemas.microsoft.com/office/drawing/2010/main" val="0"/>
                        </a:ext>
                      </a:extLst>
                    </a:blip>
                    <a:srcRect l="12845" t="15563" r="8782" b="9666"/>
                    <a:stretch/>
                  </pic:blipFill>
                  <pic:spPr bwMode="auto">
                    <a:xfrm>
                      <a:off x="0" y="0"/>
                      <a:ext cx="774700" cy="889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9B3C31" w:rsidRDefault="009B3C31" w:rsidP="009B3C31"/>
    <w:p w:rsidR="009B3C31" w:rsidRDefault="009B3C31" w:rsidP="009B3C31"/>
    <w:p w:rsidR="00AE3E37" w:rsidRDefault="00A9710C">
      <w:pPr>
        <w:pStyle w:val="Heading3"/>
        <w:spacing w:before="74"/>
      </w:pPr>
      <w:r>
        <w:rPr>
          <w:b w:val="0"/>
        </w:rPr>
        <w:br w:type="column"/>
      </w:r>
      <w:r>
        <w:rPr>
          <w:color w:val="BF5A14"/>
        </w:rPr>
        <w:t>Image</w:t>
      </w:r>
    </w:p>
    <w:p w:rsidR="00AE3E37" w:rsidRDefault="009B3C31">
      <w:pPr>
        <w:pStyle w:val="BodyText"/>
        <w:spacing w:before="2"/>
        <w:rPr>
          <w:rFonts w:ascii="Arial"/>
          <w:b/>
          <w:sz w:val="16"/>
        </w:rPr>
      </w:pPr>
      <w:r>
        <w:rPr>
          <w:noProof/>
        </w:rPr>
        <w:drawing>
          <wp:anchor distT="0" distB="0" distL="114300" distR="114300" simplePos="0" relativeHeight="251672576" behindDoc="1" locked="0" layoutInCell="1" allowOverlap="1">
            <wp:simplePos x="0" y="0"/>
            <wp:positionH relativeFrom="column">
              <wp:posOffset>635</wp:posOffset>
            </wp:positionH>
            <wp:positionV relativeFrom="paragraph">
              <wp:posOffset>145415</wp:posOffset>
            </wp:positionV>
            <wp:extent cx="3382010" cy="1755775"/>
            <wp:effectExtent l="0" t="0" r="8890" b="0"/>
            <wp:wrapTight wrapText="bothSides">
              <wp:wrapPolygon edited="0">
                <wp:start x="0" y="0"/>
                <wp:lineTo x="0" y="21327"/>
                <wp:lineTo x="21535" y="21327"/>
                <wp:lineTo x="21535"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0" cstate="print">
                      <a:extLst>
                        <a:ext uri="{28A0092B-C50C-407E-A947-70E740481C1C}">
                          <a14:useLocalDpi xmlns:a14="http://schemas.microsoft.com/office/drawing/2010/main" val="0"/>
                        </a:ext>
                      </a:extLst>
                    </a:blip>
                    <a:srcRect l="28757" t="29962" r="15613" b="18687"/>
                    <a:stretch/>
                  </pic:blipFill>
                  <pic:spPr bwMode="auto">
                    <a:xfrm>
                      <a:off x="0" y="0"/>
                      <a:ext cx="3382010" cy="1755775"/>
                    </a:xfrm>
                    <a:prstGeom prst="rect">
                      <a:avLst/>
                    </a:prstGeom>
                    <a:ln>
                      <a:noFill/>
                    </a:ln>
                    <a:extLst>
                      <a:ext uri="{53640926-AAD7-44D8-BBD7-CCE9431645EC}">
                        <a14:shadowObscured xmlns:a14="http://schemas.microsoft.com/office/drawing/2010/main"/>
                      </a:ext>
                    </a:extLst>
                  </pic:spPr>
                </pic:pic>
              </a:graphicData>
            </a:graphic>
          </wp:anchor>
        </w:drawing>
      </w:r>
    </w:p>
    <w:p w:rsidR="005973B9" w:rsidRDefault="001F74AA" w:rsidP="005973B9">
      <w:pPr>
        <w:spacing w:line="204" w:lineRule="exact"/>
        <w:rPr>
          <w:rFonts w:ascii="Arial"/>
          <w:b/>
          <w:sz w:val="20"/>
        </w:rPr>
      </w:pPr>
      <w:r>
        <w:rPr>
          <w:rFonts w:ascii="Arial"/>
          <w:b/>
          <w:color w:val="BF5A14"/>
          <w:sz w:val="20"/>
        </w:rPr>
        <w:br/>
        <w:t xml:space="preserve">Recent Publications </w:t>
      </w:r>
    </w:p>
    <w:p w:rsidR="001F74AA" w:rsidRPr="001F74AA" w:rsidRDefault="001F74AA" w:rsidP="001F74AA">
      <w:pPr>
        <w:pStyle w:val="ListParagraph"/>
        <w:numPr>
          <w:ilvl w:val="0"/>
          <w:numId w:val="3"/>
        </w:numPr>
        <w:tabs>
          <w:tab w:val="left" w:pos="384"/>
        </w:tabs>
        <w:spacing w:before="92" w:line="218" w:lineRule="exact"/>
        <w:rPr>
          <w:sz w:val="18"/>
        </w:rPr>
      </w:pPr>
      <w:r>
        <w:rPr>
          <w:sz w:val="18"/>
        </w:rPr>
        <w:t>Munir et al.</w:t>
      </w:r>
      <w:r w:rsidRPr="001F74AA">
        <w:rPr>
          <w:sz w:val="18"/>
        </w:rPr>
        <w:t xml:space="preserve"> (2020) Wood materials for limiting the bacterial reservoir on surfaces in hospitals: would it be worthwhile to go further? Future Microbiology ; doi.org/10.2217/fmb-2019-0339</w:t>
      </w:r>
    </w:p>
    <w:p w:rsidR="001F74AA" w:rsidRPr="001F74AA" w:rsidRDefault="001F74AA" w:rsidP="001F74AA">
      <w:pPr>
        <w:pStyle w:val="ListParagraph"/>
        <w:numPr>
          <w:ilvl w:val="0"/>
          <w:numId w:val="3"/>
        </w:numPr>
        <w:tabs>
          <w:tab w:val="left" w:pos="384"/>
        </w:tabs>
        <w:spacing w:before="92" w:line="218" w:lineRule="exact"/>
        <w:rPr>
          <w:sz w:val="18"/>
        </w:rPr>
      </w:pPr>
      <w:r>
        <w:rPr>
          <w:sz w:val="18"/>
        </w:rPr>
        <w:t>Munir et al. (2020)</w:t>
      </w:r>
      <w:r w:rsidRPr="001F74AA">
        <w:rPr>
          <w:sz w:val="18"/>
        </w:rPr>
        <w:t xml:space="preserve"> Experimental Parameters Influence the Observed Antimicrobial Response of Oak Wood (</w:t>
      </w:r>
      <w:proofErr w:type="spellStart"/>
      <w:r w:rsidRPr="001F74AA">
        <w:rPr>
          <w:sz w:val="18"/>
        </w:rPr>
        <w:t>Quercus</w:t>
      </w:r>
      <w:proofErr w:type="spellEnd"/>
      <w:r w:rsidRPr="001F74AA">
        <w:rPr>
          <w:sz w:val="18"/>
        </w:rPr>
        <w:t xml:space="preserve"> petraea). Antibiotics 9(9): 535; https://doi.org/10.3390/antibiotics9090535</w:t>
      </w:r>
    </w:p>
    <w:p w:rsidR="001F74AA" w:rsidRPr="001F74AA" w:rsidRDefault="001F74AA" w:rsidP="001F74AA">
      <w:pPr>
        <w:pStyle w:val="ListParagraph"/>
        <w:numPr>
          <w:ilvl w:val="0"/>
          <w:numId w:val="3"/>
        </w:numPr>
        <w:tabs>
          <w:tab w:val="left" w:pos="384"/>
        </w:tabs>
        <w:spacing w:before="92" w:line="218" w:lineRule="exact"/>
        <w:rPr>
          <w:sz w:val="18"/>
        </w:rPr>
      </w:pPr>
      <w:r w:rsidRPr="006E20AE">
        <w:rPr>
          <w:sz w:val="18"/>
          <w:lang w:val="fr-FR"/>
        </w:rPr>
        <w:t xml:space="preserve">Chen J-C et al. </w:t>
      </w:r>
      <w:r>
        <w:rPr>
          <w:sz w:val="18"/>
        </w:rPr>
        <w:t>(2020)</w:t>
      </w:r>
      <w:r w:rsidRPr="001F74AA">
        <w:rPr>
          <w:sz w:val="18"/>
        </w:rPr>
        <w:t xml:space="preserve"> Survival of bacterial strains on wood (</w:t>
      </w:r>
      <w:proofErr w:type="spellStart"/>
      <w:r w:rsidRPr="001F74AA">
        <w:rPr>
          <w:sz w:val="18"/>
        </w:rPr>
        <w:t>Quercus</w:t>
      </w:r>
      <w:proofErr w:type="spellEnd"/>
      <w:r w:rsidRPr="001F74AA">
        <w:rPr>
          <w:sz w:val="18"/>
        </w:rPr>
        <w:t xml:space="preserve"> petraea) and other materials. Antibiotics 9(11) 804</w:t>
      </w:r>
      <w:r>
        <w:rPr>
          <w:sz w:val="18"/>
        </w:rPr>
        <w:t>.</w:t>
      </w:r>
    </w:p>
    <w:p w:rsidR="001F74AA" w:rsidRDefault="001F74AA" w:rsidP="001F74AA">
      <w:pPr>
        <w:pStyle w:val="ListParagraph"/>
        <w:numPr>
          <w:ilvl w:val="0"/>
          <w:numId w:val="3"/>
        </w:numPr>
        <w:tabs>
          <w:tab w:val="left" w:pos="384"/>
        </w:tabs>
        <w:spacing w:before="92" w:line="218" w:lineRule="exact"/>
      </w:pPr>
      <w:r w:rsidRPr="001F74AA">
        <w:rPr>
          <w:sz w:val="18"/>
        </w:rPr>
        <w:t>Munir</w:t>
      </w:r>
      <w:r>
        <w:rPr>
          <w:sz w:val="18"/>
        </w:rPr>
        <w:t xml:space="preserve"> et al.</w:t>
      </w:r>
      <w:r w:rsidRPr="001F74AA">
        <w:rPr>
          <w:sz w:val="18"/>
        </w:rPr>
        <w:t xml:space="preserve"> (2019) Direct screening method to test antimicrobial properties of untreated wood. European Journal of Wood and Wood P</w:t>
      </w:r>
      <w:r>
        <w:rPr>
          <w:sz w:val="18"/>
        </w:rPr>
        <w:t>roducts 77(2): 319-322.</w:t>
      </w:r>
      <w:r w:rsidRPr="001F74AA">
        <w:t xml:space="preserve"> </w:t>
      </w:r>
    </w:p>
    <w:p w:rsidR="00AE3E37" w:rsidRPr="001F74AA" w:rsidRDefault="001F74AA" w:rsidP="001F74AA">
      <w:pPr>
        <w:pStyle w:val="ListParagraph"/>
        <w:numPr>
          <w:ilvl w:val="0"/>
          <w:numId w:val="3"/>
        </w:numPr>
        <w:tabs>
          <w:tab w:val="left" w:pos="384"/>
        </w:tabs>
        <w:spacing w:before="92" w:line="218" w:lineRule="exact"/>
        <w:sectPr w:rsidR="00AE3E37" w:rsidRPr="001F74AA">
          <w:type w:val="continuous"/>
          <w:pgSz w:w="11910" w:h="16840"/>
          <w:pgMar w:top="1740" w:right="600" w:bottom="840" w:left="620" w:header="720" w:footer="720" w:gutter="0"/>
          <w:cols w:num="2" w:space="720" w:equalWidth="0">
            <w:col w:w="5214" w:space="138"/>
            <w:col w:w="5338"/>
          </w:cols>
        </w:sectPr>
      </w:pPr>
      <w:r w:rsidRPr="001F74AA">
        <w:rPr>
          <w:sz w:val="18"/>
        </w:rPr>
        <w:t>Munir</w:t>
      </w:r>
      <w:r>
        <w:rPr>
          <w:sz w:val="18"/>
        </w:rPr>
        <w:t xml:space="preserve"> et al.</w:t>
      </w:r>
      <w:r w:rsidRPr="001F74AA">
        <w:rPr>
          <w:sz w:val="18"/>
        </w:rPr>
        <w:t xml:space="preserve"> (2019) Antimicrobial Characteristics of Untreated Wood: Towards a Hygienic Env</w:t>
      </w:r>
      <w:r>
        <w:rPr>
          <w:sz w:val="18"/>
        </w:rPr>
        <w:t>ironment. Health 11(2): 152-170.</w:t>
      </w:r>
      <w:r w:rsidR="008756E6" w:rsidRPr="001F74AA">
        <w:t xml:space="preserve">   </w:t>
      </w:r>
    </w:p>
    <w:p w:rsidR="00AE3E37" w:rsidRDefault="00AE3E37">
      <w:pPr>
        <w:pStyle w:val="BodyText"/>
        <w:rPr>
          <w:rFonts w:ascii="Calibri"/>
          <w:sz w:val="20"/>
        </w:rPr>
      </w:pPr>
    </w:p>
    <w:p w:rsidR="00AE3E37" w:rsidRDefault="009B3C31" w:rsidP="009B3C31">
      <w:r>
        <w:rPr>
          <w:noProof/>
        </w:rPr>
        <mc:AlternateContent>
          <mc:Choice Requires="wpg">
            <w:drawing>
              <wp:anchor distT="0" distB="0" distL="114300" distR="114300" simplePos="0" relativeHeight="251669504" behindDoc="1" locked="0" layoutInCell="1" allowOverlap="1">
                <wp:simplePos x="0" y="0"/>
                <wp:positionH relativeFrom="column">
                  <wp:posOffset>1587500</wp:posOffset>
                </wp:positionH>
                <wp:positionV relativeFrom="paragraph">
                  <wp:posOffset>78952</wp:posOffset>
                </wp:positionV>
                <wp:extent cx="3975735" cy="25400"/>
                <wp:effectExtent l="0" t="0" r="5715" b="0"/>
                <wp:wrapNone/>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anchor>
            </w:drawing>
          </mc:Choice>
          <mc:Fallback>
            <w:pict>
              <v:group w14:anchorId="38530BB1" id="Group 4" o:spid="_x0000_s1026" style="position:absolute;margin-left:125pt;margin-top:6.2pt;width:313.05pt;height:2pt;z-index:-251646976"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v:group>
            </w:pict>
          </mc:Fallback>
        </mc:AlternateContent>
      </w:r>
    </w:p>
    <w:p w:rsidR="00AE3E37" w:rsidRDefault="008756E6" w:rsidP="009B3C31">
      <w:pPr>
        <w:rPr>
          <w:rFonts w:ascii="Arial"/>
        </w:rPr>
      </w:pPr>
      <w:r>
        <w:rPr>
          <w:noProof/>
        </w:rPr>
        <w:t xml:space="preserve">              </w:t>
      </w:r>
    </w:p>
    <w:p w:rsidR="00AE3E37" w:rsidRDefault="007134A6">
      <w:pPr>
        <w:spacing w:before="41" w:line="154" w:lineRule="exact"/>
        <w:ind w:left="213" w:right="231"/>
        <w:jc w:val="both"/>
        <w:rPr>
          <w:rFonts w:ascii="Arial"/>
          <w:sz w:val="14"/>
        </w:rPr>
      </w:pPr>
      <w:r>
        <w:rPr>
          <w:rFonts w:ascii="Arial"/>
          <w:sz w:val="14"/>
        </w:rPr>
        <w:t xml:space="preserve">Muhammad Tanveer Munir has expertise in the indoor hospital hygiene. He is interested in application of </w:t>
      </w:r>
      <w:proofErr w:type="spellStart"/>
      <w:r>
        <w:rPr>
          <w:rFonts w:ascii="Arial"/>
          <w:i/>
          <w:sz w:val="14"/>
        </w:rPr>
        <w:t>OneH</w:t>
      </w:r>
      <w:r w:rsidRPr="007134A6">
        <w:rPr>
          <w:rFonts w:ascii="Arial"/>
          <w:i/>
          <w:sz w:val="14"/>
        </w:rPr>
        <w:t>ealth</w:t>
      </w:r>
      <w:proofErr w:type="spellEnd"/>
      <w:r>
        <w:rPr>
          <w:rFonts w:ascii="Arial"/>
          <w:sz w:val="14"/>
        </w:rPr>
        <w:t xml:space="preserve"> approach to tackle the antimicrobial resistance in the healthcare settings. His recent discoveries of variables influencing the antimicrobial properties of wood material against multiple nosocomial infection are multidisciplinary investigations realized by the collaboration of veterinarians, microbiologists, engineers and medical doctors.</w:t>
      </w:r>
    </w:p>
    <w:p w:rsidR="00AE3E37" w:rsidRDefault="007134A6">
      <w:pPr>
        <w:spacing w:before="62"/>
        <w:ind w:left="4217" w:right="4235"/>
        <w:jc w:val="center"/>
        <w:rPr>
          <w:rFonts w:ascii="Arial"/>
          <w:sz w:val="14"/>
        </w:rPr>
      </w:pPr>
      <w:r>
        <w:rPr>
          <w:rFonts w:ascii="Arial"/>
          <w:sz w:val="14"/>
        </w:rPr>
        <w:t>Email: mtmunir@outlook.fr</w:t>
      </w:r>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DAFAD1"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spacing w:before="7"/>
        <w:rPr>
          <w:rFonts w:ascii="Arial"/>
          <w:sz w:val="29"/>
        </w:rPr>
      </w:pPr>
    </w:p>
    <w:p w:rsidR="00AE3E37" w:rsidRPr="007134A6" w:rsidRDefault="00A9710C" w:rsidP="007134A6">
      <w:pPr>
        <w:spacing w:before="39"/>
        <w:ind w:left="100"/>
        <w:rPr>
          <w:rFonts w:ascii="Minion Pro"/>
          <w:b/>
          <w:sz w:val="20"/>
        </w:rPr>
        <w:sectPr w:rsidR="00AE3E37" w:rsidRPr="007134A6">
          <w:type w:val="continuous"/>
          <w:pgSz w:w="11910" w:h="16840"/>
          <w:pgMar w:top="1740" w:right="600" w:bottom="840" w:left="620" w:header="720" w:footer="720" w:gutter="0"/>
          <w:cols w:space="720"/>
        </w:sectPr>
      </w:pPr>
      <w:r w:rsidRPr="00B21A57">
        <w:rPr>
          <w:rFonts w:ascii="Minion Pro"/>
          <w:b/>
          <w:sz w:val="20"/>
        </w:rPr>
        <w:t>Notes/Comments:</w:t>
      </w:r>
      <w:r w:rsidR="007134A6">
        <w:rPr>
          <w:rFonts w:ascii="Minion Pro"/>
          <w:b/>
          <w:sz w:val="20"/>
        </w:rPr>
        <w:t xml:space="preserve"> </w:t>
      </w:r>
      <w:r w:rsidR="007134A6">
        <w:rPr>
          <w:rFonts w:ascii="Minion Pro"/>
          <w:sz w:val="20"/>
        </w:rPr>
        <w:t>T</w:t>
      </w:r>
      <w:r w:rsidR="007134A6" w:rsidRPr="007134A6">
        <w:rPr>
          <w:rFonts w:ascii="Minion Pro"/>
          <w:sz w:val="20"/>
        </w:rPr>
        <w:t xml:space="preserve">he </w:t>
      </w:r>
      <w:r w:rsidR="007134A6">
        <w:rPr>
          <w:rFonts w:ascii="Minion Pro"/>
          <w:sz w:val="20"/>
        </w:rPr>
        <w:t>results presented here are already published.</w:t>
      </w:r>
    </w:p>
    <w:p w:rsidR="00AE3E37" w:rsidRPr="007134A6" w:rsidRDefault="00AE3E37">
      <w:pPr>
        <w:pStyle w:val="BodyText"/>
        <w:spacing w:before="3"/>
        <w:rPr>
          <w:rFonts w:ascii="Minion Pro"/>
          <w:sz w:val="26"/>
        </w:rPr>
      </w:pPr>
    </w:p>
    <w:sectPr w:rsidR="00AE3E37" w:rsidRPr="007134A6"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A023C" w:rsidRDefault="00BA023C">
      <w:r>
        <w:separator/>
      </w:r>
    </w:p>
  </w:endnote>
  <w:endnote w:type="continuationSeparator" w:id="0">
    <w:p w:rsidR="00BA023C" w:rsidRDefault="00BA02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A023C" w:rsidRDefault="00BA023C">
      <w:r>
        <w:separator/>
      </w:r>
    </w:p>
  </w:footnote>
  <w:footnote w:type="continuationSeparator" w:id="0">
    <w:p w:rsidR="00BA023C" w:rsidRDefault="00BA023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A209F9" w:rsidRDefault="00A9710C">
                          <w:pPr>
                            <w:spacing w:before="2" w:line="249" w:lineRule="auto"/>
                            <w:ind w:left="156" w:right="18" w:hanging="137"/>
                            <w:rPr>
                              <w:rFonts w:ascii="Arial"/>
                              <w:color w:val="FFFFFF" w:themeColor="background1"/>
                              <w:sz w:val="14"/>
                              <w:lang w:val="fr-FR"/>
                            </w:rPr>
                          </w:pPr>
                          <w:r w:rsidRPr="00A209F9">
                            <w:rPr>
                              <w:rFonts w:ascii="Arial"/>
                              <w:color w:val="FFFFFF" w:themeColor="background1"/>
                              <w:sz w:val="14"/>
                              <w:lang w:val="fr-FR"/>
                            </w:rPr>
                            <w:t xml:space="preserve">T Furuta et </w:t>
                          </w:r>
                          <w:proofErr w:type="gramStart"/>
                          <w:r w:rsidRPr="00A209F9">
                            <w:rPr>
                              <w:rFonts w:ascii="Arial"/>
                              <w:color w:val="FFFFFF" w:themeColor="background1"/>
                              <w:sz w:val="14"/>
                              <w:lang w:val="fr-FR"/>
                            </w:rPr>
                            <w:t>al.,</w:t>
                          </w:r>
                          <w:proofErr w:type="gramEnd"/>
                          <w:r w:rsidRPr="00A209F9">
                            <w:rPr>
                              <w:rFonts w:ascii="Arial"/>
                              <w:color w:val="FFFFFF" w:themeColor="background1"/>
                              <w:sz w:val="14"/>
                              <w:lang w:val="fr-FR"/>
                            </w:rPr>
                            <w:t xml:space="preserve"> J Pai n Relief 2016, 5:3(</w:t>
                          </w:r>
                          <w:proofErr w:type="spellStart"/>
                          <w:r w:rsidRPr="00A209F9">
                            <w:rPr>
                              <w:rFonts w:ascii="Arial"/>
                              <w:color w:val="FFFFFF" w:themeColor="background1"/>
                              <w:sz w:val="14"/>
                              <w:lang w:val="fr-FR"/>
                            </w:rPr>
                            <w:t>Suppl</w:t>
                          </w:r>
                          <w:proofErr w:type="spellEnd"/>
                          <w:r w:rsidRPr="00A209F9">
                            <w:rPr>
                              <w:rFonts w:ascii="Arial"/>
                              <w:color w:val="FFFFFF" w:themeColor="background1"/>
                              <w:sz w:val="14"/>
                              <w:lang w:val="fr-FR"/>
                            </w:rPr>
                            <w:t xml:space="preserve">) </w:t>
                          </w:r>
                          <w:hyperlink r:id="rId1">
                            <w:r w:rsidRPr="00A209F9">
                              <w:rPr>
                                <w:rFonts w:ascii="Arial"/>
                                <w:color w:val="FFFFFF" w:themeColor="background1"/>
                                <w:sz w:val="14"/>
                                <w:lang w:val="fr-FR"/>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A209F9" w:rsidRDefault="00A9710C">
                    <w:pPr>
                      <w:spacing w:before="2" w:line="249" w:lineRule="auto"/>
                      <w:ind w:left="156" w:right="18" w:hanging="137"/>
                      <w:rPr>
                        <w:rFonts w:ascii="Arial"/>
                        <w:color w:val="FFFFFF" w:themeColor="background1"/>
                        <w:sz w:val="14"/>
                        <w:lang w:val="fr-FR"/>
                      </w:rPr>
                    </w:pPr>
                    <w:r w:rsidRPr="00A209F9">
                      <w:rPr>
                        <w:rFonts w:ascii="Arial"/>
                        <w:color w:val="FFFFFF" w:themeColor="background1"/>
                        <w:sz w:val="14"/>
                        <w:lang w:val="fr-FR"/>
                      </w:rPr>
                      <w:t xml:space="preserve">T Furuta et al., J Pai n Relief 2016, 5:3(Suppl) </w:t>
                    </w:r>
                    <w:r w:rsidR="003D2BE7">
                      <w:rPr>
                        <w:rFonts w:ascii="Arial"/>
                        <w:color w:val="FFFFFF" w:themeColor="background1"/>
                        <w:sz w:val="14"/>
                      </w:rPr>
                      <w:fldChar w:fldCharType="begin"/>
                    </w:r>
                    <w:r w:rsidR="003D2BE7" w:rsidRPr="00A209F9">
                      <w:rPr>
                        <w:rFonts w:ascii="Arial"/>
                        <w:color w:val="FFFFFF" w:themeColor="background1"/>
                        <w:sz w:val="14"/>
                        <w:lang w:val="fr-FR"/>
                      </w:rPr>
                      <w:instrText xml:space="preserve"> HYPERLINK "http://dx.doi.org/10.4172/2167-0846.C1.006" \h </w:instrText>
                    </w:r>
                    <w:r w:rsidR="003D2BE7">
                      <w:rPr>
                        <w:rFonts w:ascii="Arial"/>
                        <w:color w:val="FFFFFF" w:themeColor="background1"/>
                        <w:sz w:val="14"/>
                      </w:rPr>
                      <w:fldChar w:fldCharType="separate"/>
                    </w:r>
                    <w:r w:rsidRPr="00A209F9">
                      <w:rPr>
                        <w:rFonts w:ascii="Arial"/>
                        <w:color w:val="FFFFFF" w:themeColor="background1"/>
                        <w:sz w:val="14"/>
                        <w:lang w:val="fr-FR"/>
                      </w:rPr>
                      <w:t>http://dx.doi.org/10.4172/2167-0846.C1.006</w:t>
                    </w:r>
                    <w:r w:rsidR="003D2BE7">
                      <w:rPr>
                        <w:rFonts w:ascii="Arial"/>
                        <w:color w:val="FFFFFF" w:themeColor="background1"/>
                        <w:sz w:val="14"/>
                      </w:rPr>
                      <w:fldChar w:fldCharType="end"/>
                    </w:r>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bQwNjIzNzCxMDAwMjdR0lEKTi0uzszPAykwqgUA97tvNiwAAAA="/>
  </w:docVars>
  <w:rsids>
    <w:rsidRoot w:val="00AE3E37"/>
    <w:rsid w:val="00073E79"/>
    <w:rsid w:val="000E2911"/>
    <w:rsid w:val="001263DF"/>
    <w:rsid w:val="001F74AA"/>
    <w:rsid w:val="002455EC"/>
    <w:rsid w:val="00292ED9"/>
    <w:rsid w:val="003D2BE7"/>
    <w:rsid w:val="00404E5B"/>
    <w:rsid w:val="00414F7B"/>
    <w:rsid w:val="004355DC"/>
    <w:rsid w:val="004749B4"/>
    <w:rsid w:val="00494130"/>
    <w:rsid w:val="004F3523"/>
    <w:rsid w:val="005973B9"/>
    <w:rsid w:val="005B3A56"/>
    <w:rsid w:val="006060CE"/>
    <w:rsid w:val="0063497F"/>
    <w:rsid w:val="006E20AE"/>
    <w:rsid w:val="007134A6"/>
    <w:rsid w:val="00873DF0"/>
    <w:rsid w:val="008756E6"/>
    <w:rsid w:val="008A08B6"/>
    <w:rsid w:val="009B2D44"/>
    <w:rsid w:val="009B3C31"/>
    <w:rsid w:val="00A07E82"/>
    <w:rsid w:val="00A209F9"/>
    <w:rsid w:val="00A91D38"/>
    <w:rsid w:val="00A9710C"/>
    <w:rsid w:val="00AE3E37"/>
    <w:rsid w:val="00B21A57"/>
    <w:rsid w:val="00BA023C"/>
    <w:rsid w:val="00C33602"/>
    <w:rsid w:val="00CD6F55"/>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C128D41-753F-42E7-BB16-CC7925427D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454</Words>
  <Characters>2592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Munir Tanveer</cp:lastModifiedBy>
  <cp:revision>3</cp:revision>
  <dcterms:created xsi:type="dcterms:W3CDTF">2020-12-07T17:23:00Z</dcterms:created>
  <dcterms:modified xsi:type="dcterms:W3CDTF">2020-12-07T17:29:00Z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