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B75996" w:rsidP="00494130">
      <w:pPr>
        <w:pStyle w:val="Heading1"/>
        <w:spacing w:before="170"/>
        <w:ind w:left="0"/>
      </w:pPr>
      <w:r>
        <w:rPr>
          <w:color w:val="337AB7"/>
        </w:rPr>
        <w:t xml:space="preserve">Using Risk Assessments </w:t>
      </w:r>
      <w:r w:rsidR="00CF085D">
        <w:rPr>
          <w:color w:val="337AB7"/>
        </w:rPr>
        <w:t xml:space="preserve">in </w:t>
      </w:r>
      <w:r>
        <w:rPr>
          <w:color w:val="337AB7"/>
        </w:rPr>
        <w:t>Antibiotic</w:t>
      </w:r>
      <w:r>
        <w:rPr>
          <w:color w:val="337AB7"/>
        </w:rPr>
        <w:t xml:space="preserve"> Usage during the </w:t>
      </w:r>
      <w:r w:rsidR="00CF085D">
        <w:rPr>
          <w:color w:val="337AB7"/>
        </w:rPr>
        <w:t>COVID-19 Era</w:t>
      </w:r>
      <w:r>
        <w:rPr>
          <w:color w:val="337AB7"/>
        </w:rPr>
        <w:t xml:space="preserve">:  </w:t>
      </w:r>
    </w:p>
    <w:p w:rsidR="005973B9" w:rsidRDefault="00472004" w:rsidP="00472004">
      <w:pPr>
        <w:pStyle w:val="BodyText"/>
        <w:spacing w:before="73" w:line="198" w:lineRule="exact"/>
        <w:ind w:left="100" w:right="4878"/>
        <w:rPr>
          <w:rFonts w:ascii="Arial"/>
        </w:rPr>
      </w:pPr>
      <w:proofErr w:type="spellStart"/>
      <w:r>
        <w:rPr>
          <w:rFonts w:ascii="Arial"/>
        </w:rPr>
        <w:t>Maresca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Attard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Pizzuto</w:t>
      </w:r>
      <w:proofErr w:type="spellEnd"/>
      <w:r w:rsidR="00D44017">
        <w:rPr>
          <w:rFonts w:ascii="Arial"/>
        </w:rPr>
        <w:t>*</w:t>
      </w:r>
    </w:p>
    <w:p w:rsidR="00472004" w:rsidRDefault="00472004" w:rsidP="00472004">
      <w:pPr>
        <w:pStyle w:val="BodyText"/>
        <w:spacing w:before="73" w:line="198" w:lineRule="exact"/>
        <w:ind w:left="100" w:right="3460"/>
        <w:rPr>
          <w:rFonts w:ascii="Arial"/>
        </w:rPr>
      </w:pPr>
      <w:r>
        <w:rPr>
          <w:rFonts w:ascii="Arial"/>
        </w:rPr>
        <w:t>Department of Pharmacy, Faculty of Medicine and Surgery, University of Malta, Malta.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:rsidR="00980B03" w:rsidRDefault="001F697F" w:rsidP="00980B03">
      <w:pPr>
        <w:jc w:val="both"/>
        <w:rPr>
          <w:bCs/>
          <w:sz w:val="18"/>
          <w:szCs w:val="18"/>
          <w:vertAlign w:val="superscript"/>
        </w:rPr>
      </w:pPr>
      <w:r>
        <w:rPr>
          <w:sz w:val="18"/>
          <w:szCs w:val="18"/>
        </w:rPr>
        <w:t>Statement of the Problem:</w:t>
      </w:r>
      <w:r w:rsidR="00CF085D">
        <w:rPr>
          <w:b/>
          <w:bCs/>
          <w:sz w:val="18"/>
          <w:szCs w:val="18"/>
        </w:rPr>
        <w:t xml:space="preserve"> </w:t>
      </w:r>
      <w:r w:rsidR="00D603DE" w:rsidRPr="00D603DE">
        <w:rPr>
          <w:sz w:val="18"/>
          <w:szCs w:val="18"/>
        </w:rPr>
        <w:t>In everyday language, risk refers to circumstances in which it is uncertain, although possible, that some adverse event occurs.</w:t>
      </w:r>
      <w:r w:rsidR="008F2272">
        <w:rPr>
          <w:sz w:val="18"/>
          <w:szCs w:val="18"/>
        </w:rPr>
        <w:t xml:space="preserve"> But when it comes to COVID</w:t>
      </w:r>
      <w:r w:rsidR="00D603DE" w:rsidRPr="00D603DE">
        <w:rPr>
          <w:sz w:val="18"/>
          <w:szCs w:val="18"/>
        </w:rPr>
        <w:t>-19, what is the risk that we are talking about? How can we measure risk in the context of Covid-19?</w:t>
      </w:r>
      <w:r w:rsidR="00E225E5">
        <w:rPr>
          <w:sz w:val="18"/>
          <w:szCs w:val="18"/>
        </w:rPr>
        <w:t xml:space="preserve"> </w:t>
      </w:r>
      <w:r w:rsidR="008F2272">
        <w:rPr>
          <w:sz w:val="18"/>
          <w:szCs w:val="18"/>
        </w:rPr>
        <w:t xml:space="preserve">Are there risks in taking antimicrobials for COVID-19? If so, what are these risks? </w:t>
      </w:r>
      <w:r w:rsidR="00A96C69" w:rsidRPr="00B9527E">
        <w:rPr>
          <w:bCs/>
          <w:sz w:val="18"/>
          <w:szCs w:val="18"/>
        </w:rPr>
        <w:t>Antimicrobials have enabled medical advancements</w:t>
      </w:r>
      <w:r w:rsidR="00A96C69" w:rsidRPr="00B9527E">
        <w:rPr>
          <w:bCs/>
          <w:sz w:val="18"/>
          <w:szCs w:val="18"/>
        </w:rPr>
        <w:t xml:space="preserve"> over several decades, but </w:t>
      </w:r>
      <w:r w:rsidR="00A96C69" w:rsidRPr="00B9527E">
        <w:rPr>
          <w:bCs/>
          <w:sz w:val="18"/>
          <w:szCs w:val="18"/>
        </w:rPr>
        <w:t xml:space="preserve">the continuous emergence of resistance to antimicrobials </w:t>
      </w:r>
      <w:r w:rsidR="00A96C69" w:rsidRPr="00B9527E">
        <w:rPr>
          <w:bCs/>
          <w:sz w:val="18"/>
          <w:szCs w:val="18"/>
        </w:rPr>
        <w:t xml:space="preserve">compromises treatment to various diseases and </w:t>
      </w:r>
      <w:r w:rsidR="00FD6A8D" w:rsidRPr="00B9527E">
        <w:rPr>
          <w:bCs/>
          <w:sz w:val="18"/>
          <w:szCs w:val="18"/>
        </w:rPr>
        <w:t>threatens the progress in health</w:t>
      </w:r>
      <w:r w:rsidR="00A96C69" w:rsidRPr="00B9527E">
        <w:rPr>
          <w:bCs/>
          <w:sz w:val="18"/>
          <w:szCs w:val="18"/>
        </w:rPr>
        <w:t>.</w:t>
      </w:r>
      <w:r w:rsidR="00FD6A8D" w:rsidRPr="00B9527E">
        <w:rPr>
          <w:bCs/>
          <w:sz w:val="18"/>
          <w:szCs w:val="18"/>
          <w:vertAlign w:val="superscript"/>
        </w:rPr>
        <w:t>1-2</w:t>
      </w:r>
      <w:r w:rsidR="00A96C69" w:rsidRPr="00B9527E">
        <w:rPr>
          <w:rFonts w:ascii="Helvetica" w:hAnsi="Helvetica"/>
          <w:color w:val="333333"/>
          <w:sz w:val="20"/>
          <w:szCs w:val="20"/>
          <w:shd w:val="clear" w:color="auto" w:fill="FFFFFF"/>
        </w:rPr>
        <w:t> </w:t>
      </w:r>
      <w:r w:rsidR="00CF085D" w:rsidRPr="00B9527E">
        <w:rPr>
          <w:bCs/>
          <w:sz w:val="18"/>
          <w:szCs w:val="18"/>
        </w:rPr>
        <w:t>COVID-19 is caused by the SARS-CoV-2 virus, which has infected more than 4 million people with 278</w:t>
      </w:r>
      <w:r w:rsidR="00CF085D" w:rsidRPr="00B9527E">
        <w:rPr>
          <w:rFonts w:ascii="Arial" w:hAnsi="Arial" w:cs="Arial"/>
          <w:bCs/>
          <w:sz w:val="18"/>
          <w:szCs w:val="18"/>
        </w:rPr>
        <w:t> </w:t>
      </w:r>
      <w:r w:rsidR="00CF085D" w:rsidRPr="00B9527E">
        <w:rPr>
          <w:bCs/>
          <w:sz w:val="18"/>
          <w:szCs w:val="18"/>
        </w:rPr>
        <w:t xml:space="preserve">892 deaths worldwide as of 11 May 2020. </w:t>
      </w:r>
      <w:r w:rsidR="00CF085D" w:rsidRPr="00B9527E">
        <w:rPr>
          <w:bCs/>
          <w:sz w:val="18"/>
          <w:szCs w:val="18"/>
        </w:rPr>
        <w:t>COVID-19,</w:t>
      </w:r>
      <w:r w:rsidR="00CF085D" w:rsidRPr="00B9527E">
        <w:rPr>
          <w:bCs/>
          <w:sz w:val="18"/>
          <w:szCs w:val="18"/>
        </w:rPr>
        <w:t xml:space="preserve"> which can manifest as a severe respiratory infection, has been declared as a public health emergency of international concern and is being treated with a variety of </w:t>
      </w:r>
      <w:r w:rsidR="00CF085D" w:rsidRPr="00B9527E">
        <w:rPr>
          <w:bCs/>
          <w:sz w:val="18"/>
          <w:szCs w:val="18"/>
        </w:rPr>
        <w:t>antimicrobials.</w:t>
      </w:r>
      <w:r w:rsidR="00FD6A8D" w:rsidRPr="00B9527E">
        <w:rPr>
          <w:bCs/>
          <w:sz w:val="18"/>
          <w:szCs w:val="18"/>
          <w:vertAlign w:val="superscript"/>
        </w:rPr>
        <w:t>3</w:t>
      </w:r>
      <w:r w:rsidR="00D44017" w:rsidRPr="00B9527E">
        <w:rPr>
          <w:sz w:val="18"/>
          <w:szCs w:val="18"/>
        </w:rPr>
        <w:t xml:space="preserve"> </w:t>
      </w:r>
      <w:r w:rsidR="00D91977" w:rsidRPr="00B9527E">
        <w:rPr>
          <w:bCs/>
          <w:sz w:val="18"/>
          <w:szCs w:val="18"/>
        </w:rPr>
        <w:t>During the current pandemic there are potential threats that could affect antimicrobial stewardship activities and drive antimicrobial resistance.</w:t>
      </w:r>
      <w:r w:rsidR="00B75996" w:rsidRPr="00B9527E">
        <w:rPr>
          <w:bCs/>
          <w:sz w:val="18"/>
          <w:szCs w:val="18"/>
          <w:vertAlign w:val="superscript"/>
        </w:rPr>
        <w:t>1</w:t>
      </w:r>
    </w:p>
    <w:p w:rsidR="00D44017" w:rsidRPr="00980B03" w:rsidRDefault="00D44017" w:rsidP="00980B03">
      <w:pPr>
        <w:jc w:val="both"/>
        <w:rPr>
          <w:bCs/>
          <w:sz w:val="18"/>
          <w:szCs w:val="18"/>
        </w:rPr>
      </w:pPr>
      <w:r>
        <w:rPr>
          <w:sz w:val="18"/>
          <w:szCs w:val="18"/>
        </w:rPr>
        <w:t>Methodology:</w:t>
      </w:r>
      <w:r w:rsidR="00D91977">
        <w:rPr>
          <w:b/>
          <w:bCs/>
          <w:sz w:val="18"/>
          <w:szCs w:val="18"/>
        </w:rPr>
        <w:t xml:space="preserve"> </w:t>
      </w:r>
      <w:r w:rsidR="00980B03" w:rsidRPr="00980B03">
        <w:rPr>
          <w:bCs/>
          <w:sz w:val="18"/>
          <w:szCs w:val="18"/>
        </w:rPr>
        <w:t>The</w:t>
      </w:r>
      <w:r w:rsidR="00980B03" w:rsidRPr="00980B03">
        <w:rPr>
          <w:bCs/>
          <w:sz w:val="18"/>
          <w:szCs w:val="18"/>
        </w:rPr>
        <w:t xml:space="preserve"> basic principles be</w:t>
      </w:r>
      <w:r w:rsidR="00980B03" w:rsidRPr="00980B03">
        <w:rPr>
          <w:bCs/>
          <w:sz w:val="18"/>
          <w:szCs w:val="18"/>
        </w:rPr>
        <w:t>hind a risk management process are presented and</w:t>
      </w:r>
      <w:r w:rsidR="00980B03" w:rsidRPr="00980B03">
        <w:rPr>
          <w:bCs/>
          <w:sz w:val="18"/>
          <w:szCs w:val="18"/>
        </w:rPr>
        <w:t xml:space="preserve"> data</w:t>
      </w:r>
      <w:r w:rsidR="00980B03" w:rsidRPr="00980B03">
        <w:rPr>
          <w:bCs/>
          <w:sz w:val="18"/>
          <w:szCs w:val="18"/>
        </w:rPr>
        <w:t xml:space="preserve"> gathered during this exercise can be used in</w:t>
      </w:r>
      <w:r w:rsidR="00980B03" w:rsidRPr="00980B03">
        <w:rPr>
          <w:bCs/>
          <w:sz w:val="18"/>
          <w:szCs w:val="18"/>
        </w:rPr>
        <w:t xml:space="preserve"> other scenarios, for example, in running a risk assessment exercise within the Covid-19 context.</w:t>
      </w:r>
      <w:r w:rsidR="00980B03" w:rsidRPr="00980B03">
        <w:rPr>
          <w:bCs/>
          <w:sz w:val="18"/>
          <w:szCs w:val="18"/>
        </w:rPr>
        <w:t xml:space="preserve"> </w:t>
      </w:r>
      <w:r w:rsidR="00D91977" w:rsidRPr="00980B03">
        <w:rPr>
          <w:bCs/>
          <w:sz w:val="18"/>
          <w:szCs w:val="18"/>
        </w:rPr>
        <w:t xml:space="preserve">A thorough literature </w:t>
      </w:r>
      <w:r w:rsidR="00980B03" w:rsidRPr="00980B03">
        <w:rPr>
          <w:bCs/>
          <w:sz w:val="18"/>
          <w:szCs w:val="18"/>
        </w:rPr>
        <w:t xml:space="preserve">review </w:t>
      </w:r>
      <w:r w:rsidR="00D91977" w:rsidRPr="00980B03">
        <w:rPr>
          <w:bCs/>
          <w:sz w:val="18"/>
          <w:szCs w:val="18"/>
        </w:rPr>
        <w:t xml:space="preserve">evaluating the </w:t>
      </w:r>
      <w:r w:rsidR="00B75996" w:rsidRPr="00980B03">
        <w:rPr>
          <w:bCs/>
          <w:sz w:val="18"/>
          <w:szCs w:val="18"/>
        </w:rPr>
        <w:t xml:space="preserve">current evidence with respect to antibiotics used in COVID-19 </w:t>
      </w:r>
      <w:r w:rsidR="00980B03" w:rsidRPr="00980B03">
        <w:rPr>
          <w:bCs/>
          <w:sz w:val="18"/>
          <w:szCs w:val="18"/>
        </w:rPr>
        <w:t>is</w:t>
      </w:r>
      <w:r w:rsidR="00B75996" w:rsidRPr="00980B03">
        <w:rPr>
          <w:bCs/>
          <w:sz w:val="18"/>
          <w:szCs w:val="18"/>
        </w:rPr>
        <w:t xml:space="preserve"> </w:t>
      </w:r>
      <w:r w:rsidR="00980B03" w:rsidRPr="00980B03">
        <w:rPr>
          <w:bCs/>
          <w:sz w:val="18"/>
          <w:szCs w:val="18"/>
        </w:rPr>
        <w:t>put forward</w:t>
      </w:r>
      <w:r w:rsidR="00B75996" w:rsidRPr="00980B03">
        <w:rPr>
          <w:bCs/>
          <w:sz w:val="18"/>
          <w:szCs w:val="18"/>
        </w:rPr>
        <w:t>.</w:t>
      </w:r>
      <w:r w:rsidR="00980B03" w:rsidRPr="00980B03">
        <w:rPr>
          <w:bCs/>
          <w:sz w:val="18"/>
          <w:szCs w:val="18"/>
        </w:rPr>
        <w:t xml:space="preserve"> Risks in antibiotic usage are emphasized.</w:t>
      </w:r>
      <w:r w:rsidR="00980B03">
        <w:rPr>
          <w:b/>
          <w:bCs/>
          <w:sz w:val="18"/>
          <w:szCs w:val="18"/>
        </w:rPr>
        <w:t xml:space="preserve"> </w:t>
      </w:r>
      <w:r w:rsidR="00B75996">
        <w:rPr>
          <w:b/>
          <w:bCs/>
          <w:sz w:val="18"/>
          <w:szCs w:val="18"/>
        </w:rPr>
        <w:t xml:space="preserve"> </w:t>
      </w:r>
      <w:r>
        <w:rPr>
          <w:sz w:val="18"/>
          <w:szCs w:val="18"/>
        </w:rPr>
        <w:t>Findings:</w:t>
      </w:r>
      <w:r w:rsidR="00CF7B48">
        <w:rPr>
          <w:sz w:val="18"/>
          <w:szCs w:val="18"/>
        </w:rPr>
        <w:t xml:space="preserve"> </w:t>
      </w:r>
      <w:r w:rsidR="00980B03" w:rsidRPr="00980B03">
        <w:rPr>
          <w:bCs/>
          <w:sz w:val="18"/>
          <w:szCs w:val="18"/>
        </w:rPr>
        <w:t>The advice on Covid-19 being drawn up by the E</w:t>
      </w:r>
      <w:r w:rsidR="00980B03">
        <w:rPr>
          <w:bCs/>
          <w:sz w:val="18"/>
          <w:szCs w:val="18"/>
        </w:rPr>
        <w:t xml:space="preserve">uropean </w:t>
      </w:r>
      <w:r w:rsidR="00980B03" w:rsidRPr="00980B03">
        <w:rPr>
          <w:bCs/>
          <w:sz w:val="18"/>
          <w:szCs w:val="18"/>
        </w:rPr>
        <w:t>C</w:t>
      </w:r>
      <w:r w:rsidR="00980B03">
        <w:rPr>
          <w:bCs/>
          <w:sz w:val="18"/>
          <w:szCs w:val="18"/>
        </w:rPr>
        <w:t xml:space="preserve">enter for </w:t>
      </w:r>
      <w:r w:rsidR="00980B03" w:rsidRPr="00980B03">
        <w:rPr>
          <w:bCs/>
          <w:sz w:val="18"/>
          <w:szCs w:val="18"/>
        </w:rPr>
        <w:t>D</w:t>
      </w:r>
      <w:r w:rsidR="00980B03">
        <w:rPr>
          <w:bCs/>
          <w:sz w:val="18"/>
          <w:szCs w:val="18"/>
        </w:rPr>
        <w:t xml:space="preserve">isease Prevention and </w:t>
      </w:r>
      <w:r w:rsidR="00980B03" w:rsidRPr="00980B03">
        <w:rPr>
          <w:bCs/>
          <w:sz w:val="18"/>
          <w:szCs w:val="18"/>
        </w:rPr>
        <w:t>C</w:t>
      </w:r>
      <w:r w:rsidR="00980B03">
        <w:rPr>
          <w:bCs/>
          <w:sz w:val="18"/>
          <w:szCs w:val="18"/>
        </w:rPr>
        <w:t>ontrol</w:t>
      </w:r>
      <w:r w:rsidR="00980B03" w:rsidRPr="00980B03">
        <w:rPr>
          <w:bCs/>
          <w:sz w:val="18"/>
          <w:szCs w:val="18"/>
        </w:rPr>
        <w:t>, W</w:t>
      </w:r>
      <w:r w:rsidR="000870BD">
        <w:rPr>
          <w:bCs/>
          <w:sz w:val="18"/>
          <w:szCs w:val="18"/>
        </w:rPr>
        <w:t xml:space="preserve">orld </w:t>
      </w:r>
      <w:r w:rsidR="00980B03" w:rsidRPr="00980B03">
        <w:rPr>
          <w:bCs/>
          <w:sz w:val="18"/>
          <w:szCs w:val="18"/>
        </w:rPr>
        <w:t>H</w:t>
      </w:r>
      <w:r w:rsidR="000870BD">
        <w:rPr>
          <w:bCs/>
          <w:sz w:val="18"/>
          <w:szCs w:val="18"/>
        </w:rPr>
        <w:t xml:space="preserve">ealth </w:t>
      </w:r>
      <w:r w:rsidR="000870BD" w:rsidRPr="00980B03">
        <w:rPr>
          <w:bCs/>
          <w:sz w:val="18"/>
          <w:szCs w:val="18"/>
        </w:rPr>
        <w:t>O</w:t>
      </w:r>
      <w:r w:rsidR="000870BD">
        <w:rPr>
          <w:bCs/>
          <w:sz w:val="18"/>
          <w:szCs w:val="18"/>
        </w:rPr>
        <w:t>rganization</w:t>
      </w:r>
      <w:r w:rsidR="00980B03" w:rsidRPr="00980B03">
        <w:rPr>
          <w:bCs/>
          <w:sz w:val="18"/>
          <w:szCs w:val="18"/>
        </w:rPr>
        <w:t xml:space="preserve"> and health authorities to the general public is a continuous assessment of risk and benefits. Risk assessment analysis is a systematic approach and a rational solution to problem identification and probability determination</w:t>
      </w:r>
      <w:r w:rsidR="00BD350D">
        <w:rPr>
          <w:bCs/>
          <w:sz w:val="18"/>
          <w:szCs w:val="18"/>
        </w:rPr>
        <w:t xml:space="preserve"> (Table 1)</w:t>
      </w:r>
      <w:r w:rsidR="00980B03" w:rsidRPr="00980B03">
        <w:rPr>
          <w:bCs/>
          <w:sz w:val="18"/>
          <w:szCs w:val="18"/>
        </w:rPr>
        <w:t>.</w:t>
      </w:r>
      <w:r w:rsidR="00BD350D">
        <w:rPr>
          <w:bCs/>
          <w:sz w:val="18"/>
          <w:szCs w:val="18"/>
          <w:vertAlign w:val="superscript"/>
        </w:rPr>
        <w:t>4</w:t>
      </w:r>
      <w:r w:rsidR="000870BD">
        <w:rPr>
          <w:bCs/>
          <w:sz w:val="18"/>
          <w:szCs w:val="18"/>
        </w:rPr>
        <w:t xml:space="preserve"> </w:t>
      </w:r>
      <w:r w:rsidR="000870BD" w:rsidRPr="000870BD">
        <w:rPr>
          <w:bCs/>
          <w:sz w:val="18"/>
          <w:szCs w:val="18"/>
        </w:rPr>
        <w:t>The overall risk</w:t>
      </w:r>
      <w:r w:rsidR="000870BD" w:rsidRPr="000870BD">
        <w:rPr>
          <w:bCs/>
          <w:sz w:val="18"/>
          <w:szCs w:val="18"/>
        </w:rPr>
        <w:t>, be it to determine the risk of virus transmission, or the risk of using antimicrobials within a COVID-19 context,</w:t>
      </w:r>
      <w:r w:rsidR="000870BD" w:rsidRPr="000870BD">
        <w:rPr>
          <w:bCs/>
          <w:sz w:val="18"/>
          <w:szCs w:val="18"/>
        </w:rPr>
        <w:t xml:space="preserve"> is determined by a combination of risk of the probability of an event occurring and of its consequences (impact) to individuals or the population</w:t>
      </w:r>
      <w:r w:rsidR="00CC3D8F" w:rsidRPr="000870BD">
        <w:rPr>
          <w:bCs/>
          <w:sz w:val="18"/>
          <w:szCs w:val="18"/>
        </w:rPr>
        <w:t xml:space="preserve">. </w:t>
      </w:r>
      <w:r w:rsidRPr="000870BD">
        <w:rPr>
          <w:bCs/>
          <w:sz w:val="18"/>
          <w:szCs w:val="18"/>
        </w:rPr>
        <w:t>Conclusion &amp; Significance:</w:t>
      </w:r>
      <w:r w:rsidR="00CC3D8F" w:rsidRPr="000870BD">
        <w:rPr>
          <w:bCs/>
          <w:sz w:val="18"/>
          <w:szCs w:val="18"/>
        </w:rPr>
        <w:t xml:space="preserve"> </w:t>
      </w:r>
      <w:r w:rsidR="008850C3" w:rsidRPr="000870BD">
        <w:rPr>
          <w:bCs/>
          <w:sz w:val="18"/>
          <w:szCs w:val="18"/>
        </w:rPr>
        <w:t>Being able to reliably identify the risk of disease and progression, in which infected patients with COVID-19 will develop severe disease, could help clinicians in risk stratifying</w:t>
      </w:r>
      <w:r w:rsidR="00BD350D">
        <w:rPr>
          <w:bCs/>
          <w:sz w:val="18"/>
          <w:szCs w:val="18"/>
        </w:rPr>
        <w:t xml:space="preserve"> and prioritizing</w:t>
      </w:r>
      <w:r w:rsidR="008850C3" w:rsidRPr="000870BD">
        <w:rPr>
          <w:bCs/>
          <w:sz w:val="18"/>
          <w:szCs w:val="18"/>
        </w:rPr>
        <w:t xml:space="preserve"> patient</w:t>
      </w:r>
      <w:r w:rsidR="000870BD" w:rsidRPr="000870BD">
        <w:rPr>
          <w:bCs/>
          <w:sz w:val="18"/>
          <w:szCs w:val="18"/>
        </w:rPr>
        <w:t>s and ensuring appropriate care.</w:t>
      </w:r>
    </w:p>
    <w:p w:rsidR="00AE3E37" w:rsidRPr="006E58A9" w:rsidRDefault="00AE3E37" w:rsidP="000870BD">
      <w:pPr>
        <w:jc w:val="both"/>
        <w:rPr>
          <w:b/>
          <w:bCs/>
          <w:sz w:val="18"/>
          <w:szCs w:val="18"/>
        </w:rPr>
      </w:pPr>
    </w:p>
    <w:p w:rsidR="00AE3E37" w:rsidRPr="006E58A9" w:rsidRDefault="00BD350D">
      <w:pPr>
        <w:pStyle w:val="BodyText"/>
        <w:spacing w:before="2"/>
      </w:pPr>
      <w:r w:rsidRPr="00BD350D">
        <w:rPr>
          <w:lang w:val="en-GB"/>
        </w:rPr>
        <w:lastRenderedPageBreak/>
        <w:drawing>
          <wp:inline distT="0" distB="0" distL="0" distR="0" wp14:anchorId="432C54DA" wp14:editId="781B388A">
            <wp:extent cx="2933700" cy="3109075"/>
            <wp:effectExtent l="38100" t="38100" r="38100" b="34290"/>
            <wp:docPr id="1026" name="Picture 2" descr="Quality Risk Management 101 ICH Q9 In Con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Quality Risk Management 101 ICH Q9 In Contex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EFFFE"/>
                        </a:clrFrom>
                        <a:clrTo>
                          <a:srgbClr val="FE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982" cy="3110434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  <a:extLst/>
                  </pic:spPr>
                </pic:pic>
              </a:graphicData>
            </a:graphic>
          </wp:inline>
        </w:drawing>
      </w:r>
    </w:p>
    <w:p w:rsidR="00BD350D" w:rsidRPr="00BD350D" w:rsidRDefault="00346880" w:rsidP="00BD350D">
      <w:pPr>
        <w:spacing w:line="204" w:lineRule="exact"/>
        <w:rPr>
          <w:sz w:val="18"/>
          <w:szCs w:val="18"/>
          <w:lang w:val="en-GB"/>
        </w:rPr>
      </w:pPr>
      <w:r w:rsidRPr="006E58A9">
        <w:rPr>
          <w:sz w:val="18"/>
          <w:szCs w:val="18"/>
        </w:rPr>
        <w:t xml:space="preserve">Table 1: </w:t>
      </w:r>
      <w:r w:rsidR="00BD350D" w:rsidRPr="00BD350D">
        <w:rPr>
          <w:b/>
          <w:bCs/>
          <w:sz w:val="18"/>
          <w:szCs w:val="18"/>
          <w:lang w:val="en-GB"/>
        </w:rPr>
        <w:t xml:space="preserve">General Diagram of Quality Risk Management </w:t>
      </w:r>
    </w:p>
    <w:p w:rsidR="00BD350D" w:rsidRPr="00BD350D" w:rsidRDefault="00BD350D" w:rsidP="00BD350D">
      <w:pPr>
        <w:spacing w:line="204" w:lineRule="exact"/>
        <w:rPr>
          <w:sz w:val="18"/>
          <w:szCs w:val="18"/>
          <w:lang w:val="en-GB"/>
        </w:rPr>
      </w:pPr>
      <w:r w:rsidRPr="00BD350D">
        <w:rPr>
          <w:sz w:val="18"/>
          <w:szCs w:val="18"/>
          <w:lang w:val="en-GB"/>
        </w:rPr>
        <w:t>Adopted from: European Medicines Agency. ICH Guideline Q9 on Quality Risk Management. September 2015.</w:t>
      </w:r>
    </w:p>
    <w:p w:rsidR="00346880" w:rsidRPr="00346880" w:rsidRDefault="00346880" w:rsidP="005973B9">
      <w:pPr>
        <w:spacing w:line="204" w:lineRule="exact"/>
        <w:rPr>
          <w:rFonts w:ascii="Arial"/>
          <w:color w:val="000000" w:themeColor="text1"/>
          <w:sz w:val="16"/>
        </w:rPr>
      </w:pPr>
      <w:r>
        <w:rPr>
          <w:rFonts w:ascii="Arial"/>
          <w:color w:val="000000" w:themeColor="text1"/>
          <w:sz w:val="16"/>
        </w:rPr>
        <w:t>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B7399B" w:rsidRDefault="00B7399B" w:rsidP="00F13D01">
      <w:pPr>
        <w:pStyle w:val="Heading1"/>
        <w:numPr>
          <w:ilvl w:val="0"/>
          <w:numId w:val="5"/>
        </w:numPr>
        <w:shd w:val="clear" w:color="auto" w:fill="FFFFFF"/>
        <w:spacing w:before="0" w:line="240" w:lineRule="auto"/>
        <w:ind w:left="426" w:right="300" w:hanging="284"/>
        <w:textAlignment w:val="baseline"/>
        <w:rPr>
          <w:rFonts w:ascii="Calibri" w:eastAsia="Calibri" w:hAnsi="Calibri" w:cs="Calibri"/>
          <w:b w:val="0"/>
          <w:bCs w:val="0"/>
          <w:sz w:val="18"/>
          <w:szCs w:val="22"/>
        </w:rPr>
      </w:pPr>
      <w:proofErr w:type="spellStart"/>
      <w:r w:rsidRPr="00B7399B">
        <w:rPr>
          <w:rFonts w:ascii="Calibri" w:eastAsia="Calibri" w:hAnsi="Calibri" w:cs="Calibri"/>
          <w:b w:val="0"/>
          <w:bCs w:val="0"/>
          <w:sz w:val="18"/>
          <w:szCs w:val="22"/>
        </w:rPr>
        <w:t>Getahun</w:t>
      </w:r>
      <w:proofErr w:type="spellEnd"/>
      <w:r w:rsidRPr="00B7399B">
        <w:rPr>
          <w:rFonts w:ascii="Calibri" w:eastAsia="Calibri" w:hAnsi="Calibri" w:cs="Calibri"/>
          <w:b w:val="0"/>
          <w:bCs w:val="0"/>
          <w:sz w:val="18"/>
          <w:szCs w:val="22"/>
        </w:rPr>
        <w:t xml:space="preserve"> H, Smith I, Trivedi K, Paulin S, </w:t>
      </w:r>
      <w:proofErr w:type="spellStart"/>
      <w:r w:rsidRPr="00B7399B">
        <w:rPr>
          <w:rFonts w:ascii="Calibri" w:eastAsia="Calibri" w:hAnsi="Calibri" w:cs="Calibri"/>
          <w:b w:val="0"/>
          <w:bCs w:val="0"/>
          <w:sz w:val="18"/>
          <w:szCs w:val="22"/>
        </w:rPr>
        <w:t>Balkhy</w:t>
      </w:r>
      <w:proofErr w:type="spellEnd"/>
      <w:r w:rsidRPr="00B7399B">
        <w:rPr>
          <w:rFonts w:ascii="Calibri" w:eastAsia="Calibri" w:hAnsi="Calibri" w:cs="Calibri"/>
          <w:b w:val="0"/>
          <w:bCs w:val="0"/>
          <w:sz w:val="18"/>
          <w:szCs w:val="22"/>
        </w:rPr>
        <w:t xml:space="preserve"> HH</w:t>
      </w:r>
      <w:r>
        <w:rPr>
          <w:rFonts w:ascii="Calibri" w:eastAsia="Calibri" w:hAnsi="Calibri" w:cs="Calibri"/>
          <w:b w:val="0"/>
          <w:bCs w:val="0"/>
          <w:sz w:val="18"/>
          <w:szCs w:val="22"/>
        </w:rPr>
        <w:t xml:space="preserve"> (2020)</w:t>
      </w:r>
      <w:r w:rsidRPr="00B7399B">
        <w:rPr>
          <w:rFonts w:ascii="Calibri" w:eastAsia="Calibri" w:hAnsi="Calibri" w:cs="Calibri"/>
          <w:b w:val="0"/>
          <w:bCs w:val="0"/>
          <w:sz w:val="18"/>
          <w:szCs w:val="22"/>
        </w:rPr>
        <w:t xml:space="preserve">. </w:t>
      </w:r>
      <w:r w:rsidRPr="00B7399B">
        <w:rPr>
          <w:rFonts w:ascii="Calibri" w:eastAsia="Calibri" w:hAnsi="Calibri" w:cs="Calibri"/>
          <w:b w:val="0"/>
          <w:bCs w:val="0"/>
          <w:sz w:val="18"/>
          <w:szCs w:val="22"/>
        </w:rPr>
        <w:t>Tackling antimicrobial resistance in the COVID-19 pandemic</w:t>
      </w:r>
      <w:r>
        <w:rPr>
          <w:rFonts w:ascii="Calibri" w:eastAsia="Calibri" w:hAnsi="Calibri" w:cs="Calibri"/>
          <w:b w:val="0"/>
          <w:bCs w:val="0"/>
          <w:sz w:val="18"/>
          <w:szCs w:val="22"/>
        </w:rPr>
        <w:t xml:space="preserve">. </w:t>
      </w:r>
      <w:r w:rsidRPr="00B7399B">
        <w:rPr>
          <w:rFonts w:ascii="Calibri" w:eastAsia="Calibri" w:hAnsi="Calibri" w:cs="Calibri"/>
          <w:b w:val="0"/>
          <w:bCs w:val="0"/>
          <w:sz w:val="18"/>
          <w:szCs w:val="22"/>
        </w:rPr>
        <w:t>Bulletin of the World Health Organization</w:t>
      </w:r>
      <w:r w:rsidRPr="00B7399B">
        <w:rPr>
          <w:rFonts w:ascii="Calibri" w:eastAsia="Calibri" w:hAnsi="Calibri" w:cs="Calibri"/>
          <w:b w:val="0"/>
          <w:bCs w:val="0"/>
          <w:sz w:val="18"/>
          <w:szCs w:val="22"/>
        </w:rPr>
        <w:t xml:space="preserve"> </w:t>
      </w:r>
      <w:r w:rsidRPr="00B7399B">
        <w:rPr>
          <w:rFonts w:ascii="Calibri" w:eastAsia="Calibri" w:hAnsi="Calibri" w:cs="Calibri"/>
          <w:b w:val="0"/>
          <w:bCs w:val="0"/>
          <w:sz w:val="18"/>
          <w:szCs w:val="22"/>
        </w:rPr>
        <w:t>98:442-442A.</w:t>
      </w:r>
    </w:p>
    <w:p w:rsidR="00B7399B" w:rsidRPr="00B7399B" w:rsidRDefault="00B7399B" w:rsidP="00F13D01">
      <w:pPr>
        <w:pStyle w:val="Heading1"/>
        <w:numPr>
          <w:ilvl w:val="0"/>
          <w:numId w:val="5"/>
        </w:numPr>
        <w:shd w:val="clear" w:color="auto" w:fill="FFFFFF"/>
        <w:spacing w:before="0" w:line="240" w:lineRule="auto"/>
        <w:ind w:left="426" w:right="300" w:hanging="284"/>
        <w:textAlignment w:val="baseline"/>
        <w:rPr>
          <w:rFonts w:ascii="Calibri" w:eastAsia="Calibri" w:hAnsi="Calibri" w:cs="Calibri"/>
          <w:b w:val="0"/>
          <w:bCs w:val="0"/>
          <w:sz w:val="18"/>
          <w:szCs w:val="22"/>
        </w:rPr>
      </w:pPr>
      <w:r w:rsidRPr="00B7399B">
        <w:rPr>
          <w:rFonts w:ascii="Calibri" w:eastAsia="Calibri" w:hAnsi="Calibri" w:cs="Calibri"/>
          <w:b w:val="0"/>
          <w:bCs w:val="0"/>
          <w:sz w:val="18"/>
          <w:szCs w:val="22"/>
        </w:rPr>
        <w:t xml:space="preserve">Ad Hoc </w:t>
      </w:r>
      <w:r w:rsidR="00FD6A8D" w:rsidRPr="00B7399B">
        <w:rPr>
          <w:rFonts w:ascii="Calibri" w:eastAsia="Calibri" w:hAnsi="Calibri" w:cs="Calibri"/>
          <w:b w:val="0"/>
          <w:bCs w:val="0"/>
          <w:sz w:val="18"/>
          <w:szCs w:val="22"/>
        </w:rPr>
        <w:t xml:space="preserve">Interagency Coordination Group on Antimicrobial Resistance. </w:t>
      </w:r>
      <w:r w:rsidR="00FD6A8D" w:rsidRPr="00B7399B">
        <w:rPr>
          <w:rFonts w:ascii="Calibri" w:eastAsia="Calibri" w:hAnsi="Calibri" w:cs="Calibri"/>
          <w:b w:val="0"/>
          <w:bCs w:val="0"/>
          <w:sz w:val="18"/>
          <w:szCs w:val="22"/>
        </w:rPr>
        <w:t>No Time to Wait: Securing the future from drug-resistant infections</w:t>
      </w:r>
      <w:r w:rsidRPr="00B7399B">
        <w:rPr>
          <w:rFonts w:ascii="Calibri" w:eastAsia="Calibri" w:hAnsi="Calibri" w:cs="Calibri"/>
          <w:b w:val="0"/>
          <w:bCs w:val="0"/>
          <w:sz w:val="18"/>
          <w:szCs w:val="22"/>
        </w:rPr>
        <w:t xml:space="preserve"> (April 2019).</w:t>
      </w:r>
    </w:p>
    <w:p w:rsidR="00F13D01" w:rsidRDefault="00B7399B" w:rsidP="00F13D01">
      <w:pPr>
        <w:pStyle w:val="Heading1"/>
        <w:numPr>
          <w:ilvl w:val="0"/>
          <w:numId w:val="5"/>
        </w:numPr>
        <w:shd w:val="clear" w:color="auto" w:fill="FFFFFF"/>
        <w:spacing w:before="0" w:line="240" w:lineRule="auto"/>
        <w:ind w:left="426" w:right="300" w:hanging="284"/>
        <w:textAlignment w:val="baseline"/>
        <w:rPr>
          <w:rFonts w:ascii="Calibri" w:eastAsia="Calibri" w:hAnsi="Calibri" w:cs="Calibri"/>
          <w:b w:val="0"/>
          <w:bCs w:val="0"/>
          <w:sz w:val="18"/>
          <w:szCs w:val="22"/>
        </w:rPr>
      </w:pPr>
      <w:r w:rsidRPr="00B7399B">
        <w:rPr>
          <w:rFonts w:ascii="Calibri" w:eastAsia="Calibri" w:hAnsi="Calibri" w:cs="Calibri"/>
          <w:b w:val="0"/>
          <w:bCs w:val="0"/>
          <w:sz w:val="18"/>
          <w:szCs w:val="22"/>
        </w:rPr>
        <w:t>Miranda C, Silva V, Capita R, Alonso-</w:t>
      </w:r>
      <w:proofErr w:type="spellStart"/>
      <w:r w:rsidRPr="00B7399B">
        <w:rPr>
          <w:rFonts w:ascii="Calibri" w:eastAsia="Calibri" w:hAnsi="Calibri" w:cs="Calibri"/>
          <w:b w:val="0"/>
          <w:bCs w:val="0"/>
          <w:sz w:val="18"/>
          <w:szCs w:val="22"/>
        </w:rPr>
        <w:t>Calleja</w:t>
      </w:r>
      <w:proofErr w:type="spellEnd"/>
      <w:r w:rsidRPr="00B7399B">
        <w:rPr>
          <w:rFonts w:ascii="Calibri" w:eastAsia="Calibri" w:hAnsi="Calibri" w:cs="Calibri"/>
          <w:b w:val="0"/>
          <w:bCs w:val="0"/>
          <w:sz w:val="18"/>
          <w:szCs w:val="22"/>
        </w:rPr>
        <w:t xml:space="preserve"> C, </w:t>
      </w:r>
      <w:proofErr w:type="spellStart"/>
      <w:r w:rsidRPr="00B7399B">
        <w:rPr>
          <w:rFonts w:ascii="Calibri" w:eastAsia="Calibri" w:hAnsi="Calibri" w:cs="Calibri"/>
          <w:b w:val="0"/>
          <w:bCs w:val="0"/>
          <w:sz w:val="18"/>
          <w:szCs w:val="22"/>
        </w:rPr>
        <w:t>Igrejas</w:t>
      </w:r>
      <w:proofErr w:type="spellEnd"/>
      <w:r w:rsidRPr="00B7399B">
        <w:rPr>
          <w:rFonts w:ascii="Calibri" w:eastAsia="Calibri" w:hAnsi="Calibri" w:cs="Calibri"/>
          <w:b w:val="0"/>
          <w:bCs w:val="0"/>
          <w:sz w:val="18"/>
          <w:szCs w:val="22"/>
        </w:rPr>
        <w:t xml:space="preserve"> G, </w:t>
      </w:r>
      <w:proofErr w:type="spellStart"/>
      <w:r w:rsidRPr="00B7399B">
        <w:rPr>
          <w:rFonts w:ascii="Calibri" w:eastAsia="Calibri" w:hAnsi="Calibri" w:cs="Calibri"/>
          <w:b w:val="0"/>
          <w:bCs w:val="0"/>
          <w:sz w:val="18"/>
          <w:szCs w:val="22"/>
        </w:rPr>
        <w:t>Poeta</w:t>
      </w:r>
      <w:proofErr w:type="spellEnd"/>
      <w:r w:rsidRPr="00B7399B">
        <w:rPr>
          <w:rFonts w:ascii="Calibri" w:eastAsia="Calibri" w:hAnsi="Calibri" w:cs="Calibri"/>
          <w:b w:val="0"/>
          <w:bCs w:val="0"/>
          <w:sz w:val="18"/>
          <w:szCs w:val="22"/>
        </w:rPr>
        <w:t xml:space="preserve"> P (2020). Implications of antibiotics use during the COVID-19 pandemic: present and future. J. </w:t>
      </w:r>
      <w:proofErr w:type="spellStart"/>
      <w:r w:rsidRPr="00B7399B">
        <w:rPr>
          <w:rFonts w:ascii="Calibri" w:eastAsia="Calibri" w:hAnsi="Calibri" w:cs="Calibri"/>
          <w:b w:val="0"/>
          <w:bCs w:val="0"/>
          <w:sz w:val="18"/>
          <w:szCs w:val="22"/>
        </w:rPr>
        <w:t>Antimicrob</w:t>
      </w:r>
      <w:proofErr w:type="spellEnd"/>
      <w:r w:rsidRPr="00B7399B">
        <w:rPr>
          <w:rFonts w:ascii="Calibri" w:eastAsia="Calibri" w:hAnsi="Calibri" w:cs="Calibri"/>
          <w:b w:val="0"/>
          <w:bCs w:val="0"/>
          <w:sz w:val="18"/>
          <w:szCs w:val="22"/>
        </w:rPr>
        <w:t xml:space="preserve">. </w:t>
      </w:r>
      <w:proofErr w:type="spellStart"/>
      <w:r w:rsidRPr="00B7399B">
        <w:rPr>
          <w:rFonts w:ascii="Calibri" w:eastAsia="Calibri" w:hAnsi="Calibri" w:cs="Calibri"/>
          <w:b w:val="0"/>
          <w:bCs w:val="0"/>
          <w:sz w:val="18"/>
          <w:szCs w:val="22"/>
        </w:rPr>
        <w:t>Chemother</w:t>
      </w:r>
      <w:proofErr w:type="spellEnd"/>
      <w:r w:rsidRPr="00B7399B">
        <w:rPr>
          <w:rFonts w:ascii="Calibri" w:eastAsia="Calibri" w:hAnsi="Calibri" w:cs="Calibri"/>
          <w:b w:val="0"/>
          <w:bCs w:val="0"/>
          <w:sz w:val="18"/>
          <w:szCs w:val="22"/>
        </w:rPr>
        <w:t xml:space="preserve"> 75(12): 3413-6.</w:t>
      </w:r>
    </w:p>
    <w:p w:rsidR="00F13D01" w:rsidRPr="00F13D01" w:rsidRDefault="00F13D01" w:rsidP="00F13D01">
      <w:pPr>
        <w:pStyle w:val="Heading1"/>
        <w:numPr>
          <w:ilvl w:val="0"/>
          <w:numId w:val="5"/>
        </w:numPr>
        <w:shd w:val="clear" w:color="auto" w:fill="FFFFFF"/>
        <w:spacing w:before="0" w:line="240" w:lineRule="auto"/>
        <w:ind w:left="426" w:right="300" w:hanging="284"/>
        <w:textAlignment w:val="baseline"/>
        <w:rPr>
          <w:rFonts w:ascii="Calibri" w:eastAsia="Calibri" w:hAnsi="Calibri" w:cs="Calibri"/>
          <w:b w:val="0"/>
          <w:bCs w:val="0"/>
          <w:sz w:val="18"/>
          <w:szCs w:val="22"/>
        </w:rPr>
      </w:pPr>
      <w:r w:rsidRPr="00F13D01">
        <w:rPr>
          <w:rFonts w:ascii="Calibri" w:eastAsia="Calibri" w:hAnsi="Calibri" w:cs="Calibri"/>
          <w:b w:val="0"/>
          <w:bCs w:val="0"/>
          <w:sz w:val="18"/>
          <w:szCs w:val="22"/>
        </w:rPr>
        <w:t>European Medicines Agency. ICH Guideline Q9 on Quality Risk Management. September 2015.</w:t>
      </w:r>
    </w:p>
    <w:p w:rsidR="00BD350D" w:rsidRPr="00B7399B" w:rsidRDefault="00F13D01" w:rsidP="00F13D01">
      <w:pPr>
        <w:pStyle w:val="Heading1"/>
        <w:numPr>
          <w:ilvl w:val="0"/>
          <w:numId w:val="5"/>
        </w:numPr>
        <w:shd w:val="clear" w:color="auto" w:fill="FFFFFF"/>
        <w:spacing w:before="0" w:line="240" w:lineRule="auto"/>
        <w:ind w:left="426" w:right="300" w:hanging="284"/>
        <w:textAlignment w:val="baseline"/>
        <w:rPr>
          <w:rFonts w:ascii="Calibri" w:eastAsia="Calibri" w:hAnsi="Calibri" w:cs="Calibri"/>
          <w:b w:val="0"/>
          <w:bCs w:val="0"/>
          <w:sz w:val="18"/>
          <w:szCs w:val="22"/>
        </w:rPr>
      </w:pPr>
      <w:r>
        <w:rPr>
          <w:rFonts w:ascii="Calibri" w:eastAsia="Calibri" w:hAnsi="Calibri" w:cs="Calibri"/>
          <w:b w:val="0"/>
          <w:bCs w:val="0"/>
          <w:sz w:val="18"/>
          <w:szCs w:val="22"/>
        </w:rPr>
        <w:t xml:space="preserve">Ginsburg AS, Klugman KP (2020). </w:t>
      </w:r>
      <w:r w:rsidRPr="00F13D01">
        <w:rPr>
          <w:rFonts w:ascii="Calibri" w:eastAsia="Calibri" w:hAnsi="Calibri" w:cs="Calibri"/>
          <w:b w:val="0"/>
          <w:bCs w:val="0"/>
          <w:sz w:val="18"/>
          <w:szCs w:val="22"/>
        </w:rPr>
        <w:t>COVID-19 pneumonia and the appropriate use of antibiotics</w:t>
      </w:r>
      <w:r>
        <w:rPr>
          <w:rFonts w:ascii="Calibri" w:eastAsia="Calibri" w:hAnsi="Calibri" w:cs="Calibri"/>
          <w:b w:val="0"/>
          <w:bCs w:val="0"/>
          <w:sz w:val="18"/>
          <w:szCs w:val="22"/>
        </w:rPr>
        <w:t xml:space="preserve"> (Comment). The Lancet 8: e1453-4.</w:t>
      </w:r>
    </w:p>
    <w:p w:rsidR="00AE3E37" w:rsidRDefault="00AE3E37" w:rsidP="00BD350D">
      <w:pPr>
        <w:tabs>
          <w:tab w:val="left" w:pos="384"/>
        </w:tabs>
        <w:spacing w:line="216" w:lineRule="exact"/>
        <w:ind w:right="138"/>
        <w:rPr>
          <w:sz w:val="18"/>
        </w:rPr>
      </w:pPr>
    </w:p>
    <w:p w:rsidR="00BD350D" w:rsidRPr="00BD350D" w:rsidRDefault="00BD350D" w:rsidP="00BD350D">
      <w:pPr>
        <w:pStyle w:val="ListParagraph"/>
        <w:numPr>
          <w:ilvl w:val="0"/>
          <w:numId w:val="5"/>
        </w:numPr>
        <w:tabs>
          <w:tab w:val="left" w:pos="384"/>
        </w:tabs>
        <w:spacing w:line="216" w:lineRule="exact"/>
        <w:ind w:right="138"/>
        <w:rPr>
          <w:sz w:val="18"/>
        </w:rPr>
        <w:sectPr w:rsidR="00BD350D" w:rsidRPr="00BD350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521AC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GB" w:eastAsia="en-GB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D44017" w:rsidP="0034688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*</w:t>
      </w:r>
      <w:r w:rsidR="00D212E0">
        <w:rPr>
          <w:rFonts w:ascii="Arial"/>
          <w:sz w:val="14"/>
        </w:rPr>
        <w:t xml:space="preserve"> </w:t>
      </w:r>
      <w:proofErr w:type="spellStart"/>
      <w:r w:rsidR="00D212E0" w:rsidRPr="00D212E0">
        <w:rPr>
          <w:rFonts w:ascii="Arial"/>
          <w:sz w:val="14"/>
        </w:rPr>
        <w:t>Maresca</w:t>
      </w:r>
      <w:proofErr w:type="spellEnd"/>
      <w:r w:rsidR="00D212E0" w:rsidRPr="00D212E0">
        <w:rPr>
          <w:rFonts w:ascii="Arial"/>
          <w:sz w:val="14"/>
        </w:rPr>
        <w:t xml:space="preserve"> </w:t>
      </w:r>
      <w:proofErr w:type="spellStart"/>
      <w:r w:rsidR="00D212E0" w:rsidRPr="00D212E0">
        <w:rPr>
          <w:rFonts w:ascii="Arial"/>
          <w:sz w:val="14"/>
        </w:rPr>
        <w:t>Attard</w:t>
      </w:r>
      <w:proofErr w:type="spellEnd"/>
      <w:r w:rsidR="00D212E0" w:rsidRPr="00D212E0">
        <w:rPr>
          <w:rFonts w:ascii="Arial"/>
          <w:sz w:val="14"/>
        </w:rPr>
        <w:t xml:space="preserve"> </w:t>
      </w:r>
      <w:proofErr w:type="spellStart"/>
      <w:r w:rsidR="00D212E0" w:rsidRPr="00D212E0">
        <w:rPr>
          <w:rFonts w:ascii="Arial"/>
          <w:sz w:val="14"/>
        </w:rPr>
        <w:t>Pizzuto</w:t>
      </w:r>
      <w:proofErr w:type="spellEnd"/>
      <w:r w:rsidR="00D212E0" w:rsidRPr="00D212E0">
        <w:rPr>
          <w:rFonts w:ascii="Arial"/>
          <w:sz w:val="14"/>
        </w:rPr>
        <w:t xml:space="preserve"> studied Pharmacy at the Universit</w:t>
      </w:r>
      <w:r w:rsidR="00D212E0">
        <w:rPr>
          <w:rFonts w:ascii="Arial"/>
          <w:sz w:val="14"/>
        </w:rPr>
        <w:t xml:space="preserve">y of Malta, Faculty of Medicine </w:t>
      </w:r>
      <w:r w:rsidR="00D212E0" w:rsidRPr="00D212E0">
        <w:rPr>
          <w:rFonts w:ascii="Arial"/>
          <w:sz w:val="14"/>
        </w:rPr>
        <w:t>an</w:t>
      </w:r>
      <w:r w:rsidR="00D212E0">
        <w:rPr>
          <w:rFonts w:ascii="Arial"/>
          <w:sz w:val="14"/>
        </w:rPr>
        <w:t>d Surgery and graduated in 2008 and</w:t>
      </w:r>
      <w:r w:rsidR="00D212E0" w:rsidRPr="00D212E0">
        <w:rPr>
          <w:rFonts w:ascii="Arial"/>
          <w:sz w:val="14"/>
        </w:rPr>
        <w:t xml:space="preserve"> obtained her </w:t>
      </w:r>
      <w:r w:rsidR="00D212E0">
        <w:rPr>
          <w:rFonts w:ascii="Arial"/>
          <w:sz w:val="14"/>
        </w:rPr>
        <w:t xml:space="preserve">Ph.D. Degree in 2016. Her </w:t>
      </w:r>
      <w:r w:rsidR="00D212E0" w:rsidRPr="00D212E0">
        <w:rPr>
          <w:rFonts w:ascii="Arial"/>
          <w:sz w:val="14"/>
        </w:rPr>
        <w:t>research wo</w:t>
      </w:r>
      <w:r w:rsidR="00D212E0">
        <w:rPr>
          <w:rFonts w:ascii="Arial"/>
          <w:sz w:val="14"/>
        </w:rPr>
        <w:t xml:space="preserve">rk was related to risk and risk </w:t>
      </w:r>
      <w:r w:rsidR="00D212E0" w:rsidRPr="00D212E0">
        <w:rPr>
          <w:rFonts w:ascii="Arial"/>
          <w:sz w:val="14"/>
        </w:rPr>
        <w:t>management in various pharmaceutical processes,</w:t>
      </w:r>
      <w:r w:rsidR="00D212E0">
        <w:rPr>
          <w:rFonts w:ascii="Arial"/>
          <w:sz w:val="14"/>
        </w:rPr>
        <w:t xml:space="preserve"> and evaluated ways how risk in </w:t>
      </w:r>
      <w:r w:rsidR="00D212E0" w:rsidRPr="00D212E0">
        <w:rPr>
          <w:rFonts w:ascii="Arial"/>
          <w:sz w:val="14"/>
        </w:rPr>
        <w:t>different pharmaceutical settings can be measured.</w:t>
      </w:r>
      <w:r w:rsidR="00D212E0">
        <w:rPr>
          <w:rFonts w:ascii="Arial"/>
          <w:sz w:val="14"/>
        </w:rPr>
        <w:t xml:space="preserve"> </w:t>
      </w:r>
      <w:r w:rsidR="00D212E0" w:rsidRPr="00D212E0">
        <w:rPr>
          <w:rFonts w:ascii="Arial"/>
          <w:sz w:val="14"/>
        </w:rPr>
        <w:t>Her</w:t>
      </w:r>
      <w:r w:rsidR="00D212E0">
        <w:rPr>
          <w:rFonts w:ascii="Arial"/>
          <w:sz w:val="14"/>
        </w:rPr>
        <w:t xml:space="preserve"> work was presented in a number </w:t>
      </w:r>
      <w:r w:rsidR="00D212E0" w:rsidRPr="00D212E0">
        <w:rPr>
          <w:rFonts w:ascii="Arial"/>
          <w:sz w:val="14"/>
        </w:rPr>
        <w:t xml:space="preserve">of conferences including </w:t>
      </w:r>
      <w:r w:rsidR="00D212E0">
        <w:rPr>
          <w:rFonts w:ascii="Arial"/>
          <w:sz w:val="14"/>
        </w:rPr>
        <w:t xml:space="preserve">the European Association </w:t>
      </w:r>
      <w:r w:rsidR="00D212E0" w:rsidRPr="00D212E0">
        <w:rPr>
          <w:rFonts w:ascii="Arial"/>
          <w:sz w:val="14"/>
        </w:rPr>
        <w:t>of Faculties of Pharmacy, the European Assoc</w:t>
      </w:r>
      <w:r w:rsidR="00D212E0">
        <w:rPr>
          <w:rFonts w:ascii="Arial"/>
          <w:sz w:val="14"/>
        </w:rPr>
        <w:t>ia</w:t>
      </w:r>
      <w:r w:rsidR="00346880">
        <w:rPr>
          <w:rFonts w:ascii="Arial"/>
          <w:sz w:val="14"/>
        </w:rPr>
        <w:t>tion of Hospital Pharmacists,</w:t>
      </w:r>
      <w:r w:rsidR="00D212E0" w:rsidRPr="00D212E0">
        <w:rPr>
          <w:rFonts w:ascii="Arial"/>
          <w:sz w:val="14"/>
        </w:rPr>
        <w:t xml:space="preserve"> the International Ph</w:t>
      </w:r>
      <w:r w:rsidR="00346880">
        <w:rPr>
          <w:rFonts w:ascii="Arial"/>
          <w:sz w:val="14"/>
        </w:rPr>
        <w:t xml:space="preserve">armaceutical Federation and the </w:t>
      </w:r>
      <w:r w:rsidR="00D212E0" w:rsidRPr="00D212E0">
        <w:rPr>
          <w:rFonts w:ascii="Arial"/>
          <w:sz w:val="14"/>
        </w:rPr>
        <w:t xml:space="preserve">American College of Clinical Pharmacy. </w:t>
      </w:r>
      <w:proofErr w:type="spellStart"/>
      <w:r w:rsidR="00D212E0" w:rsidRPr="00D212E0">
        <w:rPr>
          <w:rFonts w:ascii="Arial"/>
          <w:sz w:val="14"/>
        </w:rPr>
        <w:t>Dr</w:t>
      </w:r>
      <w:proofErr w:type="spellEnd"/>
      <w:r w:rsidR="00D212E0" w:rsidRPr="00D212E0">
        <w:rPr>
          <w:rFonts w:ascii="Arial"/>
          <w:sz w:val="14"/>
        </w:rPr>
        <w:t xml:space="preserve"> </w:t>
      </w:r>
      <w:proofErr w:type="spellStart"/>
      <w:r w:rsidR="00D212E0" w:rsidRPr="00D212E0">
        <w:rPr>
          <w:rFonts w:ascii="Arial"/>
          <w:sz w:val="14"/>
        </w:rPr>
        <w:t>Attard</w:t>
      </w:r>
      <w:proofErr w:type="spellEnd"/>
      <w:r w:rsidR="00D212E0" w:rsidRPr="00D212E0">
        <w:rPr>
          <w:rFonts w:ascii="Arial"/>
          <w:sz w:val="14"/>
        </w:rPr>
        <w:t xml:space="preserve"> </w:t>
      </w:r>
      <w:proofErr w:type="spellStart"/>
      <w:r w:rsidR="00D212E0" w:rsidRPr="00D212E0">
        <w:rPr>
          <w:rFonts w:ascii="Arial"/>
          <w:sz w:val="14"/>
        </w:rPr>
        <w:t>Pizzuto</w:t>
      </w:r>
      <w:proofErr w:type="spellEnd"/>
      <w:r w:rsidR="00D212E0">
        <w:rPr>
          <w:rFonts w:ascii="Arial"/>
          <w:sz w:val="14"/>
        </w:rPr>
        <w:t xml:space="preserve"> is an academic at the Department of Pharmacy, University of Malta and her</w:t>
      </w:r>
      <w:r w:rsidR="00D212E0" w:rsidRPr="00D212E0">
        <w:rPr>
          <w:rFonts w:ascii="Arial"/>
          <w:sz w:val="14"/>
        </w:rPr>
        <w:t xml:space="preserve"> lecturing portfolio extends from ap</w:t>
      </w:r>
      <w:r w:rsidR="00D212E0">
        <w:rPr>
          <w:rFonts w:ascii="Arial"/>
          <w:sz w:val="14"/>
        </w:rPr>
        <w:t xml:space="preserve">plied pharmaceutical science to </w:t>
      </w:r>
      <w:r w:rsidR="00D212E0" w:rsidRPr="00D212E0">
        <w:rPr>
          <w:rFonts w:ascii="Arial"/>
          <w:sz w:val="14"/>
        </w:rPr>
        <w:t>pharmaceutics, pharmaceutical regulatory science and drug inf</w:t>
      </w:r>
      <w:r w:rsidR="00D212E0">
        <w:rPr>
          <w:rFonts w:ascii="Arial"/>
          <w:sz w:val="14"/>
        </w:rPr>
        <w:t xml:space="preserve">ormation and statistics. She is </w:t>
      </w:r>
      <w:r w:rsidR="00D212E0" w:rsidRPr="00D212E0">
        <w:rPr>
          <w:rFonts w:ascii="Arial"/>
          <w:sz w:val="14"/>
        </w:rPr>
        <w:t xml:space="preserve">also involved in the supervision of a number of undergraduate and postgraduate </w:t>
      </w:r>
      <w:r w:rsidR="00D212E0">
        <w:rPr>
          <w:rFonts w:ascii="Arial"/>
          <w:sz w:val="14"/>
        </w:rPr>
        <w:t xml:space="preserve">pharmacy </w:t>
      </w:r>
      <w:r w:rsidR="00D212E0" w:rsidRPr="00D212E0">
        <w:rPr>
          <w:rFonts w:ascii="Arial"/>
          <w:sz w:val="14"/>
        </w:rPr>
        <w:t>students.</w:t>
      </w:r>
    </w:p>
    <w:p w:rsidR="00AE3E37" w:rsidRDefault="00A9710C" w:rsidP="00F13D01">
      <w:pPr>
        <w:spacing w:before="62"/>
        <w:ind w:right="3886" w:firstLine="213"/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 xml:space="preserve">Email: </w:t>
      </w:r>
      <w:hyperlink r:id="rId11" w:history="1">
        <w:r w:rsidR="00D212E0" w:rsidRPr="00B06892">
          <w:rPr>
            <w:rStyle w:val="Hyperlink"/>
            <w:rFonts w:ascii="Arial"/>
            <w:sz w:val="14"/>
          </w:rPr>
          <w:t>maresca.attard-pizzuto@um.edu.mt</w:t>
        </w:r>
      </w:hyperlink>
      <w:r w:rsidR="00292ED9"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AA5DD1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bookmarkStart w:id="0" w:name="_GoBack"/>
      <w:bookmarkEnd w:id="0"/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64F6" w:rsidRDefault="001264F6">
      <w:r>
        <w:separator/>
      </w:r>
    </w:p>
  </w:endnote>
  <w:endnote w:type="continuationSeparator" w:id="0">
    <w:p w:rsidR="001264F6" w:rsidRDefault="00126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64F6" w:rsidRDefault="001264F6">
      <w:r>
        <w:separator/>
      </w:r>
    </w:p>
  </w:footnote>
  <w:footnote w:type="continuationSeparator" w:id="0">
    <w:p w:rsidR="001264F6" w:rsidRDefault="001264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14CE4"/>
    <w:multiLevelType w:val="hybridMultilevel"/>
    <w:tmpl w:val="3C888DD4"/>
    <w:lvl w:ilvl="0" w:tplc="0809000F">
      <w:start w:val="1"/>
      <w:numFmt w:val="decimal"/>
      <w:lvlText w:val="%1."/>
      <w:lvlJc w:val="left"/>
      <w:pPr>
        <w:ind w:left="820" w:hanging="360"/>
      </w:pPr>
    </w:lvl>
    <w:lvl w:ilvl="1" w:tplc="08090019" w:tentative="1">
      <w:start w:val="1"/>
      <w:numFmt w:val="lowerLetter"/>
      <w:lvlText w:val="%2."/>
      <w:lvlJc w:val="left"/>
      <w:pPr>
        <w:ind w:left="1540" w:hanging="360"/>
      </w:pPr>
    </w:lvl>
    <w:lvl w:ilvl="2" w:tplc="0809001B" w:tentative="1">
      <w:start w:val="1"/>
      <w:numFmt w:val="lowerRoman"/>
      <w:lvlText w:val="%3."/>
      <w:lvlJc w:val="right"/>
      <w:pPr>
        <w:ind w:left="2260" w:hanging="180"/>
      </w:pPr>
    </w:lvl>
    <w:lvl w:ilvl="3" w:tplc="0809000F" w:tentative="1">
      <w:start w:val="1"/>
      <w:numFmt w:val="decimal"/>
      <w:lvlText w:val="%4."/>
      <w:lvlJc w:val="left"/>
      <w:pPr>
        <w:ind w:left="2980" w:hanging="360"/>
      </w:pPr>
    </w:lvl>
    <w:lvl w:ilvl="4" w:tplc="08090019" w:tentative="1">
      <w:start w:val="1"/>
      <w:numFmt w:val="lowerLetter"/>
      <w:lvlText w:val="%5."/>
      <w:lvlJc w:val="left"/>
      <w:pPr>
        <w:ind w:left="3700" w:hanging="360"/>
      </w:pPr>
    </w:lvl>
    <w:lvl w:ilvl="5" w:tplc="0809001B" w:tentative="1">
      <w:start w:val="1"/>
      <w:numFmt w:val="lowerRoman"/>
      <w:lvlText w:val="%6."/>
      <w:lvlJc w:val="right"/>
      <w:pPr>
        <w:ind w:left="4420" w:hanging="180"/>
      </w:pPr>
    </w:lvl>
    <w:lvl w:ilvl="6" w:tplc="0809000F" w:tentative="1">
      <w:start w:val="1"/>
      <w:numFmt w:val="decimal"/>
      <w:lvlText w:val="%7."/>
      <w:lvlJc w:val="left"/>
      <w:pPr>
        <w:ind w:left="5140" w:hanging="360"/>
      </w:pPr>
    </w:lvl>
    <w:lvl w:ilvl="7" w:tplc="08090019" w:tentative="1">
      <w:start w:val="1"/>
      <w:numFmt w:val="lowerLetter"/>
      <w:lvlText w:val="%8."/>
      <w:lvlJc w:val="left"/>
      <w:pPr>
        <w:ind w:left="5860" w:hanging="360"/>
      </w:pPr>
    </w:lvl>
    <w:lvl w:ilvl="8" w:tplc="08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0103EB0"/>
    <w:multiLevelType w:val="hybridMultilevel"/>
    <w:tmpl w:val="518E4490"/>
    <w:lvl w:ilvl="0" w:tplc="0809000F">
      <w:start w:val="1"/>
      <w:numFmt w:val="decimal"/>
      <w:lvlText w:val="%1."/>
      <w:lvlJc w:val="left"/>
      <w:pPr>
        <w:ind w:left="820" w:hanging="360"/>
      </w:pPr>
    </w:lvl>
    <w:lvl w:ilvl="1" w:tplc="08090019" w:tentative="1">
      <w:start w:val="1"/>
      <w:numFmt w:val="lowerLetter"/>
      <w:lvlText w:val="%2."/>
      <w:lvlJc w:val="left"/>
      <w:pPr>
        <w:ind w:left="1540" w:hanging="360"/>
      </w:pPr>
    </w:lvl>
    <w:lvl w:ilvl="2" w:tplc="0809001B" w:tentative="1">
      <w:start w:val="1"/>
      <w:numFmt w:val="lowerRoman"/>
      <w:lvlText w:val="%3."/>
      <w:lvlJc w:val="right"/>
      <w:pPr>
        <w:ind w:left="2260" w:hanging="180"/>
      </w:pPr>
    </w:lvl>
    <w:lvl w:ilvl="3" w:tplc="0809000F" w:tentative="1">
      <w:start w:val="1"/>
      <w:numFmt w:val="decimal"/>
      <w:lvlText w:val="%4."/>
      <w:lvlJc w:val="left"/>
      <w:pPr>
        <w:ind w:left="2980" w:hanging="360"/>
      </w:pPr>
    </w:lvl>
    <w:lvl w:ilvl="4" w:tplc="08090019" w:tentative="1">
      <w:start w:val="1"/>
      <w:numFmt w:val="lowerLetter"/>
      <w:lvlText w:val="%5."/>
      <w:lvlJc w:val="left"/>
      <w:pPr>
        <w:ind w:left="3700" w:hanging="360"/>
      </w:pPr>
    </w:lvl>
    <w:lvl w:ilvl="5" w:tplc="0809001B" w:tentative="1">
      <w:start w:val="1"/>
      <w:numFmt w:val="lowerRoman"/>
      <w:lvlText w:val="%6."/>
      <w:lvlJc w:val="right"/>
      <w:pPr>
        <w:ind w:left="4420" w:hanging="180"/>
      </w:pPr>
    </w:lvl>
    <w:lvl w:ilvl="6" w:tplc="0809000F" w:tentative="1">
      <w:start w:val="1"/>
      <w:numFmt w:val="decimal"/>
      <w:lvlText w:val="%7."/>
      <w:lvlJc w:val="left"/>
      <w:pPr>
        <w:ind w:left="5140" w:hanging="360"/>
      </w:pPr>
    </w:lvl>
    <w:lvl w:ilvl="7" w:tplc="08090019" w:tentative="1">
      <w:start w:val="1"/>
      <w:numFmt w:val="lowerLetter"/>
      <w:lvlText w:val="%8."/>
      <w:lvlJc w:val="left"/>
      <w:pPr>
        <w:ind w:left="5860" w:hanging="360"/>
      </w:pPr>
    </w:lvl>
    <w:lvl w:ilvl="8" w:tplc="08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870BD"/>
    <w:rsid w:val="000E2911"/>
    <w:rsid w:val="000E5004"/>
    <w:rsid w:val="001263DF"/>
    <w:rsid w:val="001264F6"/>
    <w:rsid w:val="0015333F"/>
    <w:rsid w:val="001F697F"/>
    <w:rsid w:val="002455EC"/>
    <w:rsid w:val="00292ED9"/>
    <w:rsid w:val="002C5FB2"/>
    <w:rsid w:val="00346880"/>
    <w:rsid w:val="0034777F"/>
    <w:rsid w:val="00404E5B"/>
    <w:rsid w:val="00414F7B"/>
    <w:rsid w:val="004355DC"/>
    <w:rsid w:val="00457DDD"/>
    <w:rsid w:val="00472004"/>
    <w:rsid w:val="004749B4"/>
    <w:rsid w:val="00494130"/>
    <w:rsid w:val="004B301E"/>
    <w:rsid w:val="004F3523"/>
    <w:rsid w:val="005973B9"/>
    <w:rsid w:val="005B3A56"/>
    <w:rsid w:val="006060CE"/>
    <w:rsid w:val="0063497F"/>
    <w:rsid w:val="006E58A9"/>
    <w:rsid w:val="00873DF0"/>
    <w:rsid w:val="008756E6"/>
    <w:rsid w:val="008850C3"/>
    <w:rsid w:val="0089052C"/>
    <w:rsid w:val="008A08B6"/>
    <w:rsid w:val="008F2272"/>
    <w:rsid w:val="00980B03"/>
    <w:rsid w:val="009B2D44"/>
    <w:rsid w:val="00A07E82"/>
    <w:rsid w:val="00A96C69"/>
    <w:rsid w:val="00A9710C"/>
    <w:rsid w:val="00AE3E37"/>
    <w:rsid w:val="00B21A57"/>
    <w:rsid w:val="00B7399B"/>
    <w:rsid w:val="00B75996"/>
    <w:rsid w:val="00B9527E"/>
    <w:rsid w:val="00BD350D"/>
    <w:rsid w:val="00C33602"/>
    <w:rsid w:val="00CC3D8F"/>
    <w:rsid w:val="00CD6F55"/>
    <w:rsid w:val="00CF085D"/>
    <w:rsid w:val="00CF7B48"/>
    <w:rsid w:val="00D212E0"/>
    <w:rsid w:val="00D36808"/>
    <w:rsid w:val="00D44017"/>
    <w:rsid w:val="00D603DE"/>
    <w:rsid w:val="00D91977"/>
    <w:rsid w:val="00DE3104"/>
    <w:rsid w:val="00E225E5"/>
    <w:rsid w:val="00E26B10"/>
    <w:rsid w:val="00F13D01"/>
    <w:rsid w:val="00F72EEA"/>
    <w:rsid w:val="00F84CAE"/>
    <w:rsid w:val="00FC55FC"/>
    <w:rsid w:val="00FD6A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918179"/>
  <w15:docId w15:val="{21792D84-836C-468C-867F-E69CF2D90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D35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8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esca.attard-pizzuto@um.edu.mt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Windows User</cp:lastModifiedBy>
  <cp:revision>2</cp:revision>
  <dcterms:created xsi:type="dcterms:W3CDTF">2020-12-07T17:12:00Z</dcterms:created>
  <dcterms:modified xsi:type="dcterms:W3CDTF">2020-12-07T17:12:00Z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