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B579B" w14:textId="2E79A5A4" w:rsidR="00842F74" w:rsidRPr="00C47D49" w:rsidRDefault="0050104C" w:rsidP="0050104C">
      <w:pPr>
        <w:rPr>
          <w:rFonts w:ascii="Times New Roman" w:hAnsi="Times New Roman" w:cs="Times New Roman"/>
          <w:sz w:val="24"/>
          <w:szCs w:val="24"/>
        </w:rPr>
      </w:pPr>
      <w:r w:rsidRPr="00C47D49">
        <w:rPr>
          <w:rFonts w:ascii="Times New Roman" w:hAnsi="Times New Roman" w:cs="Times New Roman"/>
          <w:sz w:val="24"/>
          <w:szCs w:val="24"/>
        </w:rPr>
        <w:t xml:space="preserve">Genomic </w:t>
      </w:r>
      <w:r w:rsidR="0088533D" w:rsidRPr="00C47D49">
        <w:rPr>
          <w:rFonts w:ascii="Times New Roman" w:hAnsi="Times New Roman" w:cs="Times New Roman"/>
          <w:sz w:val="24"/>
          <w:szCs w:val="24"/>
        </w:rPr>
        <w:t xml:space="preserve">characterization of a uropathogenic </w:t>
      </w:r>
      <w:r w:rsidR="0088533D" w:rsidRPr="00C47D49">
        <w:rPr>
          <w:rFonts w:ascii="Times New Roman" w:hAnsi="Times New Roman" w:cs="Times New Roman"/>
          <w:i/>
          <w:iCs/>
          <w:sz w:val="24"/>
          <w:szCs w:val="24"/>
        </w:rPr>
        <w:t>Escherichia coli</w:t>
      </w:r>
      <w:r w:rsidR="0088533D" w:rsidRPr="00C47D49">
        <w:rPr>
          <w:rFonts w:ascii="Times New Roman" w:hAnsi="Times New Roman" w:cs="Times New Roman"/>
          <w:sz w:val="24"/>
          <w:szCs w:val="24"/>
        </w:rPr>
        <w:t xml:space="preserve"> ST405 isolate harboring </w:t>
      </w:r>
      <w:r w:rsidR="0088533D" w:rsidRPr="005E2EC2">
        <w:rPr>
          <w:rFonts w:ascii="Times New Roman" w:hAnsi="Times New Roman" w:cs="Times New Roman"/>
          <w:i/>
          <w:iCs/>
          <w:sz w:val="24"/>
          <w:szCs w:val="24"/>
        </w:rPr>
        <w:t>bla</w:t>
      </w:r>
      <w:r w:rsidR="0088533D" w:rsidRPr="00C47D49">
        <w:rPr>
          <w:rFonts w:ascii="Times New Roman" w:hAnsi="Times New Roman" w:cs="Times New Roman"/>
          <w:sz w:val="24"/>
          <w:szCs w:val="24"/>
          <w:vertAlign w:val="subscript"/>
        </w:rPr>
        <w:t>CTX-M-15</w:t>
      </w:r>
      <w:r w:rsidR="0088533D" w:rsidRPr="00C47D49">
        <w:rPr>
          <w:rFonts w:ascii="Times New Roman" w:hAnsi="Times New Roman" w:cs="Times New Roman"/>
          <w:sz w:val="24"/>
          <w:szCs w:val="24"/>
        </w:rPr>
        <w:t xml:space="preserve">-encoding IncFIA-FIB plasmid, </w:t>
      </w:r>
      <w:r w:rsidR="0088533D" w:rsidRPr="005E2EC2">
        <w:rPr>
          <w:rFonts w:ascii="Times New Roman" w:hAnsi="Times New Roman" w:cs="Times New Roman"/>
          <w:i/>
          <w:iCs/>
          <w:sz w:val="24"/>
          <w:szCs w:val="24"/>
        </w:rPr>
        <w:t>bla</w:t>
      </w:r>
      <w:r w:rsidR="0088533D" w:rsidRPr="00C47D49">
        <w:rPr>
          <w:rFonts w:ascii="Times New Roman" w:hAnsi="Times New Roman" w:cs="Times New Roman"/>
          <w:sz w:val="24"/>
          <w:szCs w:val="24"/>
          <w:vertAlign w:val="subscript"/>
        </w:rPr>
        <w:t>CTX-M-24</w:t>
      </w:r>
      <w:r w:rsidR="0088533D" w:rsidRPr="00C47D49">
        <w:rPr>
          <w:rFonts w:ascii="Times New Roman" w:hAnsi="Times New Roman" w:cs="Times New Roman"/>
          <w:sz w:val="24"/>
          <w:szCs w:val="24"/>
        </w:rPr>
        <w:t>-encoding IncI1 plasmid, and phage-like plasmid</w:t>
      </w:r>
    </w:p>
    <w:p w14:paraId="15C3486A" w14:textId="0BD44A44" w:rsidR="0050104C" w:rsidRPr="00C47D49" w:rsidRDefault="0050104C" w:rsidP="0050104C">
      <w:pPr>
        <w:rPr>
          <w:rFonts w:ascii="Times New Roman" w:hAnsi="Times New Roman" w:cs="Times New Roman"/>
          <w:sz w:val="24"/>
          <w:szCs w:val="24"/>
        </w:rPr>
      </w:pPr>
    </w:p>
    <w:p w14:paraId="6A31C354" w14:textId="35A3D334" w:rsidR="0088533D" w:rsidRPr="00C47D49" w:rsidRDefault="0088533D" w:rsidP="0050104C">
      <w:pPr>
        <w:rPr>
          <w:rFonts w:ascii="Times New Roman" w:hAnsi="Times New Roman" w:cs="Times New Roman"/>
          <w:sz w:val="24"/>
          <w:szCs w:val="24"/>
          <w:vertAlign w:val="superscript"/>
        </w:rPr>
      </w:pPr>
      <w:r w:rsidRPr="00C47D49">
        <w:rPr>
          <w:rFonts w:ascii="Times New Roman" w:hAnsi="Times New Roman" w:cs="Times New Roman" w:hint="eastAsia"/>
          <w:sz w:val="24"/>
          <w:szCs w:val="24"/>
        </w:rPr>
        <w:t>M</w:t>
      </w:r>
      <w:r w:rsidRPr="00C47D49">
        <w:rPr>
          <w:rFonts w:ascii="Times New Roman" w:hAnsi="Times New Roman" w:cs="Times New Roman"/>
          <w:sz w:val="24"/>
          <w:szCs w:val="24"/>
        </w:rPr>
        <w:t>ianzhi Yao</w:t>
      </w:r>
      <w:r w:rsidRPr="00C47D49">
        <w:rPr>
          <w:rFonts w:ascii="Times New Roman" w:hAnsi="Times New Roman" w:cs="Times New Roman"/>
          <w:sz w:val="24"/>
          <w:szCs w:val="24"/>
          <w:vertAlign w:val="superscript"/>
        </w:rPr>
        <w:t>1</w:t>
      </w:r>
      <w:r w:rsidRPr="00C47D49">
        <w:rPr>
          <w:rFonts w:ascii="Times New Roman" w:hAnsi="Times New Roman" w:cs="Times New Roman"/>
          <w:sz w:val="24"/>
          <w:szCs w:val="24"/>
        </w:rPr>
        <w:t>, Qianhui Zhu</w:t>
      </w:r>
      <w:r w:rsidRPr="00C47D49">
        <w:rPr>
          <w:rFonts w:ascii="Times New Roman" w:hAnsi="Times New Roman" w:cs="Times New Roman"/>
          <w:sz w:val="24"/>
          <w:szCs w:val="24"/>
          <w:vertAlign w:val="superscript"/>
        </w:rPr>
        <w:t>2,3</w:t>
      </w:r>
      <w:r w:rsidRPr="00C47D49">
        <w:rPr>
          <w:rFonts w:ascii="Times New Roman" w:hAnsi="Times New Roman" w:cs="Times New Roman"/>
          <w:sz w:val="24"/>
          <w:szCs w:val="24"/>
        </w:rPr>
        <w:t>, Jin Zou</w:t>
      </w:r>
      <w:r w:rsidRPr="00C47D49">
        <w:rPr>
          <w:rFonts w:ascii="Times New Roman" w:hAnsi="Times New Roman" w:cs="Times New Roman"/>
          <w:sz w:val="24"/>
          <w:szCs w:val="24"/>
          <w:vertAlign w:val="superscript"/>
        </w:rPr>
        <w:t>4</w:t>
      </w:r>
      <w:r w:rsidRPr="00C47D49">
        <w:rPr>
          <w:rFonts w:ascii="Times New Roman" w:hAnsi="Times New Roman" w:cs="Times New Roman"/>
          <w:sz w:val="24"/>
          <w:szCs w:val="24"/>
        </w:rPr>
        <w:t>, Abebe Mekuria Shenkutie</w:t>
      </w:r>
      <w:r w:rsidRPr="00C47D49">
        <w:rPr>
          <w:rFonts w:ascii="Times New Roman" w:hAnsi="Times New Roman" w:cs="Times New Roman"/>
          <w:sz w:val="24"/>
          <w:szCs w:val="24"/>
          <w:vertAlign w:val="superscript"/>
        </w:rPr>
        <w:t>1,5</w:t>
      </w:r>
      <w:r w:rsidRPr="00C47D49">
        <w:rPr>
          <w:rFonts w:ascii="Times New Roman" w:hAnsi="Times New Roman" w:cs="Times New Roman"/>
          <w:sz w:val="24"/>
          <w:szCs w:val="24"/>
        </w:rPr>
        <w:t>, Songnian Hu</w:t>
      </w:r>
      <w:r w:rsidRPr="00C47D49">
        <w:rPr>
          <w:rFonts w:ascii="Times New Roman" w:hAnsi="Times New Roman" w:cs="Times New Roman"/>
          <w:sz w:val="24"/>
          <w:szCs w:val="24"/>
          <w:vertAlign w:val="superscript"/>
        </w:rPr>
        <w:t>2,3</w:t>
      </w:r>
      <w:r w:rsidRPr="00C47D49">
        <w:rPr>
          <w:rFonts w:ascii="Times New Roman" w:hAnsi="Times New Roman" w:cs="Times New Roman"/>
          <w:sz w:val="24"/>
          <w:szCs w:val="24"/>
        </w:rPr>
        <w:t>, Jiuxin Qu</w:t>
      </w:r>
      <w:r w:rsidRPr="00C47D49">
        <w:rPr>
          <w:rFonts w:ascii="Times New Roman" w:hAnsi="Times New Roman" w:cs="Times New Roman"/>
          <w:sz w:val="24"/>
          <w:szCs w:val="24"/>
          <w:vertAlign w:val="superscript"/>
        </w:rPr>
        <w:t>4</w:t>
      </w:r>
      <w:r w:rsidRPr="00C47D49">
        <w:rPr>
          <w:rFonts w:ascii="Times New Roman" w:hAnsi="Times New Roman" w:cs="Times New Roman"/>
          <w:sz w:val="24"/>
          <w:szCs w:val="24"/>
        </w:rPr>
        <w:t>, Zilong He</w:t>
      </w:r>
      <w:r w:rsidRPr="00C47D49">
        <w:rPr>
          <w:rFonts w:ascii="Times New Roman" w:hAnsi="Times New Roman" w:cs="Times New Roman"/>
          <w:sz w:val="24"/>
          <w:szCs w:val="24"/>
          <w:vertAlign w:val="superscript"/>
        </w:rPr>
        <w:t>6,7</w:t>
      </w:r>
      <w:r w:rsidRPr="00C47D49">
        <w:rPr>
          <w:rFonts w:ascii="Times New Roman" w:hAnsi="Times New Roman" w:cs="Times New Roman"/>
          <w:sz w:val="24"/>
          <w:szCs w:val="24"/>
        </w:rPr>
        <w:t>, Polly H M Leung</w:t>
      </w:r>
      <w:r w:rsidRPr="00C47D49">
        <w:rPr>
          <w:rFonts w:ascii="Times New Roman" w:hAnsi="Times New Roman" w:cs="Times New Roman"/>
          <w:sz w:val="24"/>
          <w:szCs w:val="24"/>
          <w:vertAlign w:val="superscript"/>
        </w:rPr>
        <w:t>1</w:t>
      </w:r>
    </w:p>
    <w:p w14:paraId="21F35120" w14:textId="68EA3613" w:rsidR="0088533D" w:rsidRPr="00C47D49" w:rsidRDefault="0088533D" w:rsidP="0050104C">
      <w:pPr>
        <w:rPr>
          <w:rFonts w:ascii="Times New Roman" w:hAnsi="Times New Roman" w:cs="Times New Roman"/>
          <w:sz w:val="24"/>
          <w:szCs w:val="24"/>
        </w:rPr>
      </w:pPr>
    </w:p>
    <w:p w14:paraId="7C295BFA" w14:textId="72D406B8" w:rsidR="0088533D" w:rsidRPr="00C47D49" w:rsidRDefault="0088533D" w:rsidP="0050104C">
      <w:pPr>
        <w:rPr>
          <w:rFonts w:ascii="Times New Roman" w:hAnsi="Times New Roman" w:cs="Times New Roman"/>
          <w:sz w:val="18"/>
          <w:szCs w:val="18"/>
        </w:rPr>
      </w:pPr>
      <w:r w:rsidRPr="00C47D49">
        <w:rPr>
          <w:rFonts w:ascii="Times New Roman" w:hAnsi="Times New Roman" w:cs="Times New Roman"/>
          <w:sz w:val="18"/>
          <w:szCs w:val="18"/>
          <w:vertAlign w:val="superscript"/>
        </w:rPr>
        <w:t>1</w:t>
      </w:r>
      <w:r w:rsidRPr="00C47D49">
        <w:rPr>
          <w:rFonts w:ascii="Times New Roman" w:hAnsi="Times New Roman" w:cs="Times New Roman"/>
          <w:sz w:val="18"/>
          <w:szCs w:val="18"/>
        </w:rPr>
        <w:t>Department of Health Technology and Informatics, The Hong Kong Polytechnic University, Hung Hom, Hong Kong SAR, China.</w:t>
      </w:r>
    </w:p>
    <w:p w14:paraId="4B12B150" w14:textId="7DF316D1" w:rsidR="0088533D" w:rsidRPr="00C47D49" w:rsidRDefault="0088533D" w:rsidP="0050104C">
      <w:pPr>
        <w:rPr>
          <w:rFonts w:ascii="Times New Roman" w:hAnsi="Times New Roman" w:cs="Times New Roman"/>
          <w:sz w:val="18"/>
          <w:szCs w:val="18"/>
        </w:rPr>
      </w:pPr>
      <w:r w:rsidRPr="00C47D49">
        <w:rPr>
          <w:rFonts w:ascii="Times New Roman" w:hAnsi="Times New Roman" w:cs="Times New Roman" w:hint="eastAsia"/>
          <w:sz w:val="18"/>
          <w:szCs w:val="18"/>
          <w:vertAlign w:val="superscript"/>
        </w:rPr>
        <w:t>2</w:t>
      </w:r>
      <w:r w:rsidRPr="00C47D49">
        <w:rPr>
          <w:rFonts w:ascii="Times New Roman" w:hAnsi="Times New Roman" w:cs="Times New Roman"/>
          <w:sz w:val="18"/>
          <w:szCs w:val="18"/>
        </w:rPr>
        <w:t>State Key Laboratory of Microbial Resources, Institute of Microbiology, Chinese Academy of Sciences, Beijing, China.</w:t>
      </w:r>
    </w:p>
    <w:p w14:paraId="71BF39DF" w14:textId="011BD662" w:rsidR="0088533D" w:rsidRPr="00C47D49" w:rsidRDefault="0088533D" w:rsidP="0050104C">
      <w:pPr>
        <w:rPr>
          <w:rFonts w:ascii="Times New Roman" w:hAnsi="Times New Roman" w:cs="Times New Roman"/>
          <w:sz w:val="18"/>
          <w:szCs w:val="18"/>
        </w:rPr>
      </w:pPr>
      <w:r w:rsidRPr="00C47D49">
        <w:rPr>
          <w:rFonts w:ascii="Times New Roman" w:hAnsi="Times New Roman" w:cs="Times New Roman" w:hint="eastAsia"/>
          <w:sz w:val="18"/>
          <w:szCs w:val="18"/>
          <w:vertAlign w:val="superscript"/>
        </w:rPr>
        <w:t>3</w:t>
      </w:r>
      <w:r w:rsidR="00A613A9" w:rsidRPr="00C47D49">
        <w:rPr>
          <w:rFonts w:ascii="Times New Roman" w:hAnsi="Times New Roman" w:cs="Times New Roman"/>
          <w:sz w:val="18"/>
          <w:szCs w:val="18"/>
        </w:rPr>
        <w:t>College of Life Sciences, University of Chinese Academy of Sciences, Beijing, China.</w:t>
      </w:r>
    </w:p>
    <w:p w14:paraId="23FC3084" w14:textId="6BBC8FC3" w:rsidR="00A613A9" w:rsidRPr="00C47D49" w:rsidRDefault="00A613A9" w:rsidP="0050104C">
      <w:pPr>
        <w:rPr>
          <w:rFonts w:ascii="Times New Roman" w:hAnsi="Times New Roman" w:cs="Times New Roman"/>
          <w:sz w:val="18"/>
          <w:szCs w:val="18"/>
        </w:rPr>
      </w:pPr>
      <w:r w:rsidRPr="00C47D49">
        <w:rPr>
          <w:rFonts w:ascii="Times New Roman" w:hAnsi="Times New Roman" w:cs="Times New Roman" w:hint="eastAsia"/>
          <w:sz w:val="18"/>
          <w:szCs w:val="18"/>
          <w:vertAlign w:val="superscript"/>
        </w:rPr>
        <w:t>4</w:t>
      </w:r>
      <w:r w:rsidRPr="00C47D49">
        <w:rPr>
          <w:rFonts w:ascii="Times New Roman" w:hAnsi="Times New Roman" w:cs="Times New Roman"/>
          <w:sz w:val="18"/>
          <w:szCs w:val="18"/>
        </w:rPr>
        <w:t>Department of Clinical Laboratory, Shenzhen Third People’s Hospital, Second Hospital Affiliated to Southern University of Science and Technology, National Clinical Research Center for In</w:t>
      </w:r>
      <w:r w:rsidR="003B3E4D" w:rsidRPr="00C47D49">
        <w:rPr>
          <w:rFonts w:ascii="Times New Roman" w:hAnsi="Times New Roman" w:cs="Times New Roman"/>
          <w:sz w:val="18"/>
          <w:szCs w:val="18"/>
        </w:rPr>
        <w:t>fectious Diseases, Shenzhen, China.</w:t>
      </w:r>
    </w:p>
    <w:p w14:paraId="3BE41351" w14:textId="228E6710" w:rsidR="003B3E4D" w:rsidRPr="00C47D49" w:rsidRDefault="003B3E4D" w:rsidP="0050104C">
      <w:pPr>
        <w:rPr>
          <w:rFonts w:ascii="Times New Roman" w:hAnsi="Times New Roman" w:cs="Times New Roman"/>
          <w:sz w:val="18"/>
          <w:szCs w:val="18"/>
        </w:rPr>
      </w:pPr>
      <w:r w:rsidRPr="00C47D49">
        <w:rPr>
          <w:rFonts w:ascii="Times New Roman" w:hAnsi="Times New Roman" w:cs="Times New Roman" w:hint="eastAsia"/>
          <w:sz w:val="18"/>
          <w:szCs w:val="18"/>
          <w:vertAlign w:val="superscript"/>
        </w:rPr>
        <w:t>5</w:t>
      </w:r>
      <w:r w:rsidRPr="00C47D49">
        <w:rPr>
          <w:rFonts w:ascii="Times New Roman" w:hAnsi="Times New Roman" w:cs="Times New Roman"/>
          <w:sz w:val="18"/>
          <w:szCs w:val="18"/>
        </w:rPr>
        <w:t>Department of Microbiology, Immunology, and Parasitology, St Paul’s Hospital Millennium Medical College, Addis Ababa, Ethiopia.</w:t>
      </w:r>
    </w:p>
    <w:p w14:paraId="4C149838" w14:textId="6C2E45F9" w:rsidR="003B3E4D" w:rsidRPr="00C47D49" w:rsidRDefault="003B3E4D" w:rsidP="0050104C">
      <w:pPr>
        <w:rPr>
          <w:rFonts w:ascii="Times New Roman" w:hAnsi="Times New Roman" w:cs="Times New Roman"/>
          <w:sz w:val="18"/>
          <w:szCs w:val="18"/>
        </w:rPr>
      </w:pPr>
      <w:r w:rsidRPr="00C47D49">
        <w:rPr>
          <w:rFonts w:ascii="Times New Roman" w:hAnsi="Times New Roman" w:cs="Times New Roman" w:hint="eastAsia"/>
          <w:sz w:val="18"/>
          <w:szCs w:val="18"/>
          <w:vertAlign w:val="superscript"/>
        </w:rPr>
        <w:t>6</w:t>
      </w:r>
      <w:r w:rsidRPr="00C47D49">
        <w:rPr>
          <w:rFonts w:ascii="Times New Roman" w:hAnsi="Times New Roman" w:cs="Times New Roman"/>
          <w:sz w:val="18"/>
          <w:szCs w:val="18"/>
        </w:rPr>
        <w:t xml:space="preserve">Beijing Advanced Innovation Center for Big Data-Beased Precision Medicine, Interdisciplinary Innovation Institute of Medicine and Engineering, Beihang University, Beijing, China. </w:t>
      </w:r>
    </w:p>
    <w:p w14:paraId="463F445D" w14:textId="63A0D921" w:rsidR="003B3E4D" w:rsidRPr="00C47D49" w:rsidRDefault="003B3E4D" w:rsidP="0050104C">
      <w:pPr>
        <w:rPr>
          <w:rFonts w:ascii="Times New Roman" w:hAnsi="Times New Roman" w:cs="Times New Roman"/>
          <w:sz w:val="18"/>
          <w:szCs w:val="18"/>
        </w:rPr>
      </w:pPr>
      <w:r w:rsidRPr="00C47D49">
        <w:rPr>
          <w:rFonts w:ascii="Times New Roman" w:hAnsi="Times New Roman" w:cs="Times New Roman" w:hint="eastAsia"/>
          <w:sz w:val="18"/>
          <w:szCs w:val="18"/>
          <w:vertAlign w:val="superscript"/>
        </w:rPr>
        <w:t>7</w:t>
      </w:r>
      <w:r w:rsidRPr="00C47D49">
        <w:rPr>
          <w:rFonts w:ascii="Times New Roman" w:hAnsi="Times New Roman" w:cs="Times New Roman"/>
          <w:sz w:val="18"/>
          <w:szCs w:val="18"/>
        </w:rPr>
        <w:t xml:space="preserve">School of Engineering Medicine, Beihang University, Beijing, China. </w:t>
      </w:r>
    </w:p>
    <w:p w14:paraId="2CB6BA4E" w14:textId="79160AB7" w:rsidR="003B3E4D" w:rsidRPr="00C47D49" w:rsidRDefault="003B3E4D" w:rsidP="0050104C">
      <w:pPr>
        <w:rPr>
          <w:rFonts w:ascii="Times New Roman" w:hAnsi="Times New Roman" w:cs="Times New Roman"/>
          <w:sz w:val="24"/>
          <w:szCs w:val="24"/>
        </w:rPr>
      </w:pPr>
    </w:p>
    <w:p w14:paraId="5DA5FA27" w14:textId="657DF67B" w:rsidR="003B3E4D" w:rsidRPr="00C47D49" w:rsidRDefault="003B3E4D" w:rsidP="0050104C">
      <w:pPr>
        <w:rPr>
          <w:rFonts w:ascii="Times New Roman" w:hAnsi="Times New Roman" w:cs="Times New Roman"/>
          <w:b/>
          <w:bCs/>
          <w:sz w:val="24"/>
          <w:szCs w:val="24"/>
        </w:rPr>
      </w:pPr>
      <w:r w:rsidRPr="00C47D49">
        <w:rPr>
          <w:rFonts w:ascii="Times New Roman" w:hAnsi="Times New Roman" w:cs="Times New Roman" w:hint="eastAsia"/>
          <w:b/>
          <w:bCs/>
          <w:sz w:val="24"/>
          <w:szCs w:val="24"/>
        </w:rPr>
        <w:t>A</w:t>
      </w:r>
      <w:r w:rsidRPr="00C47D49">
        <w:rPr>
          <w:rFonts w:ascii="Times New Roman" w:hAnsi="Times New Roman" w:cs="Times New Roman"/>
          <w:b/>
          <w:bCs/>
          <w:sz w:val="24"/>
          <w:szCs w:val="24"/>
        </w:rPr>
        <w:t>bstract:</w:t>
      </w:r>
    </w:p>
    <w:p w14:paraId="176C04E2" w14:textId="79238FFE" w:rsidR="00C47D49" w:rsidRPr="00C47D49" w:rsidRDefault="003B3E4D" w:rsidP="00C47D49">
      <w:pPr>
        <w:spacing w:beforeLines="50" w:before="156"/>
        <w:rPr>
          <w:rFonts w:ascii="Times New Roman" w:hAnsi="Times New Roman"/>
          <w:sz w:val="24"/>
          <w:szCs w:val="24"/>
        </w:rPr>
      </w:pPr>
      <w:r w:rsidRPr="00BB332E">
        <w:rPr>
          <w:rFonts w:ascii="Times New Roman" w:hAnsi="Times New Roman" w:cs="Times New Roman" w:hint="eastAsia"/>
          <w:b/>
          <w:bCs/>
          <w:sz w:val="24"/>
          <w:szCs w:val="24"/>
        </w:rPr>
        <w:t>S</w:t>
      </w:r>
      <w:r w:rsidRPr="00BB332E">
        <w:rPr>
          <w:rFonts w:ascii="Times New Roman" w:hAnsi="Times New Roman" w:cs="Times New Roman"/>
          <w:b/>
          <w:bCs/>
          <w:sz w:val="24"/>
          <w:szCs w:val="24"/>
        </w:rPr>
        <w:t>tatement of the Problem:</w:t>
      </w:r>
      <w:r w:rsidRPr="00C47D49">
        <w:rPr>
          <w:rFonts w:ascii="Times New Roman" w:hAnsi="Times New Roman" w:cs="Times New Roman"/>
          <w:sz w:val="24"/>
          <w:szCs w:val="24"/>
        </w:rPr>
        <w:t xml:space="preserve"> </w:t>
      </w:r>
      <w:r w:rsidR="00C47D49" w:rsidRPr="00C47D49">
        <w:rPr>
          <w:rFonts w:ascii="Times New Roman" w:hAnsi="Times New Roman"/>
          <w:i/>
          <w:iCs/>
          <w:sz w:val="24"/>
          <w:szCs w:val="24"/>
        </w:rPr>
        <w:t xml:space="preserve">Escherichia coli </w:t>
      </w:r>
      <w:r w:rsidR="00C47D49" w:rsidRPr="00C47D49">
        <w:rPr>
          <w:rFonts w:ascii="Times New Roman" w:hAnsi="Times New Roman"/>
          <w:sz w:val="24"/>
          <w:szCs w:val="24"/>
        </w:rPr>
        <w:t xml:space="preserve">sequence type 405 is an emerging antibiotic-resistant clonal group associated with the global dissemination of extended-spectrum β-lactamase-producing </w:t>
      </w:r>
      <w:r w:rsidR="00C47D49" w:rsidRPr="00C47D49">
        <w:rPr>
          <w:rFonts w:ascii="Times New Roman" w:hAnsi="Times New Roman"/>
          <w:i/>
          <w:iCs/>
          <w:sz w:val="24"/>
          <w:szCs w:val="24"/>
        </w:rPr>
        <w:t>E. coli. E. coli</w:t>
      </w:r>
      <w:r w:rsidR="00C47D49" w:rsidRPr="00C47D49">
        <w:rPr>
          <w:rFonts w:ascii="Times New Roman" w:hAnsi="Times New Roman"/>
          <w:sz w:val="24"/>
          <w:szCs w:val="24"/>
        </w:rPr>
        <w:t xml:space="preserve"> ST405 has recently caused several outbreaks in China, raising concerns about its public health threat. </w:t>
      </w:r>
      <w:r w:rsidR="00C47D49" w:rsidRPr="00C47D49">
        <w:rPr>
          <w:rFonts w:ascii="Times New Roman" w:eastAsia="等线" w:hAnsi="Times New Roman" w:hint="cs"/>
          <w:sz w:val="24"/>
          <w:szCs w:val="24"/>
        </w:rPr>
        <w:t>U</w:t>
      </w:r>
      <w:r w:rsidR="00C47D49" w:rsidRPr="00C47D49">
        <w:rPr>
          <w:rFonts w:ascii="Times New Roman" w:eastAsia="等线" w:hAnsi="Times New Roman"/>
          <w:sz w:val="24"/>
          <w:szCs w:val="24"/>
        </w:rPr>
        <w:t>nderstanding the mechanisms underlying its increasing ability to cause outbreaks requires an in-depth knowledge of the genetic features of ST405.</w:t>
      </w:r>
      <w:r w:rsidR="00C47D49" w:rsidRPr="00C47D49">
        <w:rPr>
          <w:rFonts w:ascii="Times New Roman" w:hAnsi="Times New Roman"/>
          <w:sz w:val="24"/>
          <w:szCs w:val="24"/>
        </w:rPr>
        <w:t xml:space="preserve"> In this study, we report the genome assembly and characterization of a uropathogenic </w:t>
      </w:r>
      <w:r w:rsidR="00C47D49" w:rsidRPr="00C47D49">
        <w:rPr>
          <w:rFonts w:ascii="Times New Roman" w:hAnsi="Times New Roman"/>
          <w:i/>
          <w:iCs/>
          <w:sz w:val="24"/>
          <w:szCs w:val="24"/>
        </w:rPr>
        <w:t>E. coli</w:t>
      </w:r>
      <w:r w:rsidR="00C47D49" w:rsidRPr="00C47D49">
        <w:rPr>
          <w:rFonts w:ascii="Times New Roman" w:hAnsi="Times New Roman"/>
          <w:sz w:val="24"/>
          <w:szCs w:val="24"/>
        </w:rPr>
        <w:t xml:space="preserve"> S</w:t>
      </w:r>
      <w:r w:rsidR="005E2EC2">
        <w:rPr>
          <w:rFonts w:ascii="Times New Roman" w:hAnsi="Times New Roman"/>
          <w:sz w:val="24"/>
          <w:szCs w:val="24"/>
        </w:rPr>
        <w:t>T</w:t>
      </w:r>
      <w:r w:rsidR="00C47D49" w:rsidRPr="00C47D49">
        <w:rPr>
          <w:rFonts w:ascii="Times New Roman" w:hAnsi="Times New Roman"/>
          <w:sz w:val="24"/>
          <w:szCs w:val="24"/>
        </w:rPr>
        <w:t xml:space="preserve">405 strain, SZESBLEC201. </w:t>
      </w:r>
    </w:p>
    <w:p w14:paraId="2C65AF97" w14:textId="737A544E" w:rsidR="003B3E4D" w:rsidRPr="00C47D49" w:rsidRDefault="00C47D49" w:rsidP="003B3E4D">
      <w:pPr>
        <w:spacing w:beforeLines="50" w:before="156"/>
        <w:rPr>
          <w:rFonts w:ascii="Times New Roman" w:eastAsia="等线" w:hAnsi="Times New Roman"/>
          <w:sz w:val="24"/>
          <w:szCs w:val="24"/>
        </w:rPr>
      </w:pPr>
      <w:r w:rsidRPr="00BB332E">
        <w:rPr>
          <w:rFonts w:ascii="Times New Roman" w:hAnsi="Times New Roman" w:cs="Times New Roman" w:hint="eastAsia"/>
          <w:b/>
          <w:bCs/>
          <w:sz w:val="24"/>
          <w:szCs w:val="24"/>
        </w:rPr>
        <w:t>M</w:t>
      </w:r>
      <w:r w:rsidRPr="00BB332E">
        <w:rPr>
          <w:rFonts w:ascii="Times New Roman" w:hAnsi="Times New Roman" w:cs="Times New Roman"/>
          <w:b/>
          <w:bCs/>
          <w:sz w:val="24"/>
          <w:szCs w:val="24"/>
        </w:rPr>
        <w:t>ethodology and Theoretical Orientation:</w:t>
      </w:r>
      <w:r w:rsidRPr="00C47D49">
        <w:rPr>
          <w:rFonts w:ascii="Times New Roman" w:hAnsi="Times New Roman" w:cs="Times New Roman"/>
          <w:sz w:val="24"/>
          <w:szCs w:val="24"/>
        </w:rPr>
        <w:t xml:space="preserve"> </w:t>
      </w:r>
      <w:r w:rsidRPr="00C47D49">
        <w:rPr>
          <w:rFonts w:ascii="Times New Roman" w:hAnsi="Times New Roman"/>
          <w:sz w:val="24"/>
          <w:szCs w:val="24"/>
        </w:rPr>
        <w:t xml:space="preserve">The MDR </w:t>
      </w:r>
      <w:r w:rsidRPr="00BB332E">
        <w:rPr>
          <w:rFonts w:ascii="Times New Roman" w:hAnsi="Times New Roman"/>
          <w:i/>
          <w:iCs/>
          <w:sz w:val="24"/>
          <w:szCs w:val="24"/>
        </w:rPr>
        <w:t>E. coli</w:t>
      </w:r>
      <w:r w:rsidRPr="00C47D49">
        <w:rPr>
          <w:rFonts w:ascii="Times New Roman" w:hAnsi="Times New Roman"/>
          <w:sz w:val="24"/>
          <w:szCs w:val="24"/>
        </w:rPr>
        <w:t xml:space="preserve"> isolate SZESBLEC201 was recovered from a urine specimen of a patient suffering from a UTI on the fourth day of hospitalization. Antimicrobial susceptibility testing was performed to determine the resistant characteristics. The conjugative transferability of plasmids in SZESBLEC201 was investigated by solid mating conjugation. Plasmids profiles of the donor and recipient were determined by S1-nuclease digestion followed by pulsed-field gel electrophoresis. Whole genome sequencing was performed on the Illumina </w:t>
      </w:r>
      <w:r w:rsidRPr="00C47D49">
        <w:rPr>
          <w:rFonts w:ascii="Times New Roman" w:eastAsia="等线" w:hAnsi="Times New Roman" w:hint="cs"/>
          <w:sz w:val="24"/>
          <w:szCs w:val="24"/>
        </w:rPr>
        <w:t>H</w:t>
      </w:r>
      <w:r w:rsidRPr="00C47D49">
        <w:rPr>
          <w:rFonts w:ascii="Times New Roman" w:eastAsia="等线" w:hAnsi="Times New Roman"/>
          <w:sz w:val="24"/>
          <w:szCs w:val="24"/>
        </w:rPr>
        <w:t xml:space="preserve">iSeq 2500 platform and the Oxford MinIon Nanopore platform. High-quality lone reads were assembled </w:t>
      </w:r>
      <w:r w:rsidRPr="00C47D49">
        <w:rPr>
          <w:rFonts w:ascii="Times New Roman" w:eastAsia="等线" w:hAnsi="Times New Roman"/>
          <w:i/>
          <w:iCs/>
          <w:sz w:val="24"/>
          <w:szCs w:val="24"/>
        </w:rPr>
        <w:t>de novo</w:t>
      </w:r>
      <w:r w:rsidRPr="00C47D49">
        <w:rPr>
          <w:rFonts w:ascii="Times New Roman" w:eastAsia="等线" w:hAnsi="Times New Roman"/>
          <w:sz w:val="24"/>
          <w:szCs w:val="24"/>
        </w:rPr>
        <w:t xml:space="preserve"> using Canu. Contigs were circularized by Circlator. High-quality short-reads were used to correct circularized contigs.</w:t>
      </w:r>
    </w:p>
    <w:p w14:paraId="37011F56" w14:textId="18E8566C" w:rsidR="00C47D49" w:rsidRPr="00C47D49" w:rsidRDefault="00C47D49" w:rsidP="003B3E4D">
      <w:pPr>
        <w:spacing w:beforeLines="50" w:before="156"/>
        <w:rPr>
          <w:rFonts w:ascii="Times New Roman" w:eastAsia="等线" w:hAnsi="Times New Roman"/>
          <w:sz w:val="24"/>
          <w:szCs w:val="24"/>
        </w:rPr>
      </w:pPr>
      <w:r w:rsidRPr="00BB332E">
        <w:rPr>
          <w:rFonts w:ascii="Times New Roman" w:hAnsi="Times New Roman" w:cs="Times New Roman" w:hint="eastAsia"/>
          <w:b/>
          <w:bCs/>
          <w:sz w:val="24"/>
          <w:szCs w:val="24"/>
        </w:rPr>
        <w:t>F</w:t>
      </w:r>
      <w:r w:rsidRPr="00BB332E">
        <w:rPr>
          <w:rFonts w:ascii="Times New Roman" w:hAnsi="Times New Roman" w:cs="Times New Roman"/>
          <w:b/>
          <w:bCs/>
          <w:sz w:val="24"/>
          <w:szCs w:val="24"/>
        </w:rPr>
        <w:t>indings:</w:t>
      </w:r>
      <w:r w:rsidRPr="00C47D49">
        <w:rPr>
          <w:rFonts w:ascii="Times New Roman" w:hAnsi="Times New Roman" w:cs="Times New Roman"/>
          <w:sz w:val="24"/>
          <w:szCs w:val="24"/>
        </w:rPr>
        <w:t xml:space="preserve"> </w:t>
      </w:r>
      <w:r w:rsidRPr="00C47D49">
        <w:rPr>
          <w:rFonts w:ascii="Times New Roman" w:hAnsi="Times New Roman"/>
          <w:sz w:val="24"/>
          <w:szCs w:val="24"/>
        </w:rPr>
        <w:t xml:space="preserve">Whole-genome sequencing revealed that SZESBLEC201 harbors a 5,020,403 bp chromosome and three plasmids, namely, pSZESBLEC201-1, pSZESBLEC201-2, and pSZESBLEC201-3. pSZESBLEC201-1 (111,621 bp) belongs to the IncFIA-FIB type and harbors </w:t>
      </w:r>
      <w:r w:rsidRPr="00C47D49">
        <w:rPr>
          <w:rFonts w:ascii="Times New Roman" w:hAnsi="Times New Roman"/>
          <w:i/>
          <w:iCs/>
          <w:sz w:val="24"/>
          <w:szCs w:val="24"/>
        </w:rPr>
        <w:t>bla</w:t>
      </w:r>
      <w:r w:rsidRPr="00C47D49">
        <w:rPr>
          <w:rFonts w:ascii="Times New Roman" w:hAnsi="Times New Roman"/>
          <w:sz w:val="24"/>
          <w:szCs w:val="24"/>
          <w:vertAlign w:val="subscript"/>
        </w:rPr>
        <w:t>CTX-M-15</w:t>
      </w:r>
      <w:r w:rsidRPr="00C47D49">
        <w:rPr>
          <w:rFonts w:ascii="Times New Roman" w:hAnsi="Times New Roman"/>
          <w:sz w:val="24"/>
          <w:szCs w:val="24"/>
        </w:rPr>
        <w:t xml:space="preserve">. However, this plasmid does not harbor conjugative transfer-associated genes, rendering pSZESBLEC201-1 unable to be conjugatively transferred. pSZESBLEC201-2 (95,138 bp) is a phage-like plasmid that shows a strong genome synteny with </w:t>
      </w:r>
      <w:r w:rsidRPr="00C47D49">
        <w:rPr>
          <w:rFonts w:ascii="Times New Roman" w:hAnsi="Times New Roman"/>
          <w:i/>
          <w:iCs/>
          <w:sz w:val="24"/>
          <w:szCs w:val="24"/>
        </w:rPr>
        <w:t>Escherichia</w:t>
      </w:r>
      <w:r w:rsidRPr="00C47D49">
        <w:rPr>
          <w:rFonts w:ascii="Times New Roman" w:hAnsi="Times New Roman"/>
          <w:sz w:val="24"/>
          <w:szCs w:val="24"/>
        </w:rPr>
        <w:t xml:space="preserve"> phage P1 but with the absence of mobile genetic elements and some regulatory genes, pSZESBLEC201-3 (92,865 bp) belongs to the </w:t>
      </w:r>
      <w:r w:rsidRPr="00C47D49">
        <w:rPr>
          <w:rFonts w:ascii="Times New Roman" w:eastAsia="等线" w:hAnsi="Times New Roman" w:hint="cs"/>
          <w:sz w:val="24"/>
          <w:szCs w:val="24"/>
        </w:rPr>
        <w:t>I</w:t>
      </w:r>
      <w:r w:rsidRPr="00C47D49">
        <w:rPr>
          <w:rFonts w:ascii="Times New Roman" w:eastAsia="等线" w:hAnsi="Times New Roman"/>
          <w:sz w:val="24"/>
          <w:szCs w:val="24"/>
        </w:rPr>
        <w:t xml:space="preserve">ncI1 type and carries </w:t>
      </w:r>
      <w:r w:rsidRPr="00C47D49">
        <w:rPr>
          <w:rFonts w:ascii="Times New Roman" w:eastAsia="等线" w:hAnsi="Times New Roman"/>
          <w:i/>
          <w:iCs/>
          <w:sz w:val="24"/>
          <w:szCs w:val="24"/>
        </w:rPr>
        <w:t>bla</w:t>
      </w:r>
      <w:r w:rsidRPr="00C47D49">
        <w:rPr>
          <w:rFonts w:ascii="Times New Roman" w:eastAsia="等线" w:hAnsi="Times New Roman"/>
          <w:sz w:val="24"/>
          <w:szCs w:val="24"/>
          <w:vertAlign w:val="subscript"/>
        </w:rPr>
        <w:t>CTX-M-24</w:t>
      </w:r>
      <w:r w:rsidRPr="00C47D49">
        <w:rPr>
          <w:rFonts w:ascii="Times New Roman" w:eastAsia="等线" w:hAnsi="Times New Roman"/>
          <w:sz w:val="24"/>
          <w:szCs w:val="24"/>
        </w:rPr>
        <w:t xml:space="preserve">. In contrast to pSZESBLEC201-1, pSZESBLEC201-3 retains its full activate conjugation machinery and can be transferred </w:t>
      </w:r>
      <w:r w:rsidRPr="00C47D49">
        <w:rPr>
          <w:rFonts w:ascii="Times New Roman" w:eastAsia="等线" w:hAnsi="Times New Roman"/>
          <w:i/>
          <w:iCs/>
          <w:sz w:val="24"/>
          <w:szCs w:val="24"/>
        </w:rPr>
        <w:t>via</w:t>
      </w:r>
      <w:r w:rsidRPr="00C47D49">
        <w:rPr>
          <w:rFonts w:ascii="Times New Roman" w:eastAsia="等线" w:hAnsi="Times New Roman"/>
          <w:sz w:val="24"/>
          <w:szCs w:val="24"/>
        </w:rPr>
        <w:t xml:space="preserve"> conjugation. The genetic features of the genome show that the SZESBLEC201 isolate has a unique virulence pattern compared with genetically similar strains found in China. The plasmid backbones exhibit a high degree of similarity to those of geographically distant isolates, highlighting the global spread of </w:t>
      </w:r>
      <w:r w:rsidRPr="00C47D49">
        <w:rPr>
          <w:rFonts w:ascii="Times New Roman" w:eastAsia="等线" w:hAnsi="Times New Roman"/>
          <w:i/>
          <w:iCs/>
          <w:sz w:val="24"/>
          <w:szCs w:val="24"/>
        </w:rPr>
        <w:t>bla</w:t>
      </w:r>
      <w:r w:rsidRPr="00C47D49">
        <w:rPr>
          <w:rFonts w:ascii="Times New Roman" w:eastAsia="等线" w:hAnsi="Times New Roman"/>
          <w:sz w:val="24"/>
          <w:szCs w:val="24"/>
          <w:vertAlign w:val="subscript"/>
        </w:rPr>
        <w:t>CTX-M</w:t>
      </w:r>
      <w:r w:rsidRPr="00C47D49">
        <w:rPr>
          <w:rFonts w:ascii="Times New Roman" w:eastAsia="等线" w:hAnsi="Times New Roman"/>
          <w:sz w:val="24"/>
          <w:szCs w:val="24"/>
        </w:rPr>
        <w:t xml:space="preserve"> genes and the genome plasticity of this clonal group.</w:t>
      </w:r>
    </w:p>
    <w:p w14:paraId="045A976F" w14:textId="296F416B" w:rsidR="00C47D49" w:rsidRDefault="00C47D49" w:rsidP="003B3E4D">
      <w:pPr>
        <w:spacing w:beforeLines="50" w:before="156"/>
        <w:rPr>
          <w:rFonts w:ascii="Times New Roman" w:hAnsi="Times New Roman"/>
          <w:sz w:val="24"/>
          <w:szCs w:val="24"/>
        </w:rPr>
      </w:pPr>
      <w:r w:rsidRPr="00BB332E">
        <w:rPr>
          <w:rFonts w:ascii="Times New Roman" w:hAnsi="Times New Roman" w:cs="Times New Roman" w:hint="eastAsia"/>
          <w:b/>
          <w:bCs/>
          <w:sz w:val="24"/>
          <w:szCs w:val="24"/>
        </w:rPr>
        <w:t>C</w:t>
      </w:r>
      <w:r w:rsidRPr="00BB332E">
        <w:rPr>
          <w:rFonts w:ascii="Times New Roman" w:hAnsi="Times New Roman" w:cs="Times New Roman"/>
          <w:b/>
          <w:bCs/>
          <w:sz w:val="24"/>
          <w:szCs w:val="24"/>
        </w:rPr>
        <w:t>onclusion and Significance:</w:t>
      </w:r>
      <w:r w:rsidRPr="00C47D49">
        <w:rPr>
          <w:rFonts w:ascii="Times New Roman" w:hAnsi="Times New Roman" w:cs="Times New Roman"/>
          <w:sz w:val="24"/>
          <w:szCs w:val="24"/>
        </w:rPr>
        <w:t xml:space="preserve"> </w:t>
      </w:r>
      <w:r w:rsidRPr="00C47D49">
        <w:rPr>
          <w:rFonts w:ascii="Times New Roman" w:hAnsi="Times New Roman" w:hint="cs"/>
          <w:sz w:val="24"/>
          <w:szCs w:val="24"/>
        </w:rPr>
        <w:t>T</w:t>
      </w:r>
      <w:r w:rsidRPr="00C47D49">
        <w:rPr>
          <w:rFonts w:ascii="Times New Roman" w:hAnsi="Times New Roman"/>
          <w:sz w:val="24"/>
          <w:szCs w:val="24"/>
        </w:rPr>
        <w:t xml:space="preserve">his is the first study to report </w:t>
      </w:r>
      <w:r w:rsidRPr="00C47D49">
        <w:rPr>
          <w:rFonts w:ascii="Times New Roman" w:hAnsi="Times New Roman"/>
          <w:i/>
          <w:iCs/>
          <w:sz w:val="24"/>
          <w:szCs w:val="24"/>
        </w:rPr>
        <w:t>E. coli</w:t>
      </w:r>
      <w:r w:rsidRPr="00C47D49">
        <w:rPr>
          <w:rFonts w:ascii="Times New Roman" w:hAnsi="Times New Roman"/>
          <w:sz w:val="24"/>
          <w:szCs w:val="24"/>
        </w:rPr>
        <w:t xml:space="preserve"> ST405 harboring </w:t>
      </w:r>
      <w:r w:rsidRPr="00C47D49">
        <w:rPr>
          <w:rFonts w:ascii="Times New Roman" w:hAnsi="Times New Roman"/>
          <w:i/>
          <w:iCs/>
          <w:sz w:val="24"/>
          <w:szCs w:val="24"/>
        </w:rPr>
        <w:t>bla</w:t>
      </w:r>
      <w:r w:rsidRPr="00C47D49">
        <w:rPr>
          <w:rFonts w:ascii="Times New Roman" w:hAnsi="Times New Roman"/>
          <w:sz w:val="24"/>
          <w:szCs w:val="24"/>
          <w:vertAlign w:val="subscript"/>
        </w:rPr>
        <w:t>CTX-M-15</w:t>
      </w:r>
      <w:r w:rsidRPr="00C47D49">
        <w:rPr>
          <w:rFonts w:ascii="Times New Roman" w:hAnsi="Times New Roman"/>
          <w:sz w:val="24"/>
          <w:szCs w:val="24"/>
        </w:rPr>
        <w:t xml:space="preserve"> and </w:t>
      </w:r>
      <w:r w:rsidRPr="00C47D49">
        <w:rPr>
          <w:rFonts w:ascii="Times New Roman" w:hAnsi="Times New Roman"/>
          <w:i/>
          <w:iCs/>
          <w:sz w:val="24"/>
          <w:szCs w:val="24"/>
        </w:rPr>
        <w:t>bla</w:t>
      </w:r>
      <w:r w:rsidRPr="00C47D49">
        <w:rPr>
          <w:rFonts w:ascii="Times New Roman" w:hAnsi="Times New Roman"/>
          <w:sz w:val="24"/>
          <w:szCs w:val="24"/>
          <w:vertAlign w:val="subscript"/>
        </w:rPr>
        <w:t>CTX-M-24</w:t>
      </w:r>
      <w:r w:rsidRPr="00C47D49">
        <w:rPr>
          <w:rFonts w:ascii="Times New Roman" w:hAnsi="Times New Roman"/>
          <w:sz w:val="24"/>
          <w:szCs w:val="24"/>
        </w:rPr>
        <w:t xml:space="preserve"> variants in the same isolate in China. The availability of the complete genome of </w:t>
      </w:r>
      <w:r w:rsidRPr="00C47D49">
        <w:rPr>
          <w:rFonts w:ascii="Times New Roman" w:hAnsi="Times New Roman"/>
          <w:i/>
          <w:iCs/>
          <w:sz w:val="24"/>
          <w:szCs w:val="24"/>
        </w:rPr>
        <w:t>E. coli</w:t>
      </w:r>
      <w:r w:rsidRPr="00C47D49">
        <w:rPr>
          <w:rFonts w:ascii="Times New Roman" w:hAnsi="Times New Roman"/>
          <w:sz w:val="24"/>
          <w:szCs w:val="24"/>
        </w:rPr>
        <w:t xml:space="preserve"> ST405 facilitates a further investigation of the underlying mechanisms of becoming a globally successful clone and the potential roles played by its </w:t>
      </w:r>
      <w:r w:rsidRPr="00C47D49">
        <w:rPr>
          <w:rFonts w:ascii="Times New Roman" w:hAnsi="Times New Roman"/>
          <w:i/>
          <w:iCs/>
          <w:sz w:val="24"/>
          <w:szCs w:val="24"/>
        </w:rPr>
        <w:t>bla</w:t>
      </w:r>
      <w:r w:rsidRPr="00C47D49">
        <w:rPr>
          <w:rFonts w:ascii="Times New Roman" w:hAnsi="Times New Roman"/>
          <w:sz w:val="24"/>
          <w:szCs w:val="24"/>
          <w:vertAlign w:val="subscript"/>
        </w:rPr>
        <w:t>CTX-M</w:t>
      </w:r>
      <w:r w:rsidRPr="00C47D49">
        <w:rPr>
          <w:rFonts w:ascii="Times New Roman" w:hAnsi="Times New Roman"/>
          <w:sz w:val="24"/>
          <w:szCs w:val="24"/>
        </w:rPr>
        <w:t>-bearing plasmids and phage-like plasmid in gene transfer.</w:t>
      </w:r>
    </w:p>
    <w:p w14:paraId="2C2D5CCC" w14:textId="6F6E0D6A" w:rsidR="00BB332E" w:rsidRPr="00C47D49" w:rsidRDefault="00BB332E" w:rsidP="003B3E4D">
      <w:pPr>
        <w:spacing w:beforeLines="50" w:before="156"/>
        <w:rPr>
          <w:rFonts w:ascii="Times New Roman" w:hAnsi="Times New Roman" w:cs="Times New Roman" w:hint="eastAsia"/>
          <w:sz w:val="24"/>
          <w:szCs w:val="24"/>
        </w:rPr>
      </w:pPr>
      <w:r w:rsidRPr="00BB332E">
        <w:rPr>
          <w:rFonts w:ascii="Times New Roman" w:hAnsi="Times New Roman" w:hint="eastAsia"/>
          <w:b/>
          <w:bCs/>
          <w:sz w:val="24"/>
          <w:szCs w:val="24"/>
        </w:rPr>
        <w:lastRenderedPageBreak/>
        <w:t>R</w:t>
      </w:r>
      <w:r w:rsidRPr="00BB332E">
        <w:rPr>
          <w:rFonts w:ascii="Times New Roman" w:hAnsi="Times New Roman"/>
          <w:b/>
          <w:bCs/>
          <w:sz w:val="24"/>
          <w:szCs w:val="24"/>
        </w:rPr>
        <w:t>eference:</w:t>
      </w:r>
      <w:r>
        <w:rPr>
          <w:rFonts w:ascii="Times New Roman" w:hAnsi="Times New Roman"/>
          <w:sz w:val="24"/>
          <w:szCs w:val="24"/>
        </w:rPr>
        <w:t xml:space="preserve"> </w:t>
      </w:r>
      <w:r>
        <w:rPr>
          <w:rFonts w:ascii="Arial" w:hAnsi="Arial" w:cs="Arial"/>
          <w:color w:val="222222"/>
          <w:sz w:val="20"/>
          <w:szCs w:val="20"/>
          <w:shd w:val="clear" w:color="auto" w:fill="FFFFFF"/>
        </w:rPr>
        <w:t>Yao M, Zhu Q, Zou J, Shenkutie AM, Hu S, Qu J, He Z, Leung PH. Genomic Characterization of a Uropathogenic Escherichia coli ST405 Isolate Harboring bla CTX-M-15-Encoding IncFIA-FIB Plasmid, bla CTX-M-24-Encoding IncI1 Plasmid, and Phage-Like Plasmid. Frontiers in microbiology. 2022 Apr 11;13:845045-.</w:t>
      </w:r>
    </w:p>
    <w:sectPr w:rsidR="00BB332E" w:rsidRPr="00C47D49" w:rsidSect="00C47D49">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0DC"/>
    <w:rsid w:val="002C60DC"/>
    <w:rsid w:val="003B3E4D"/>
    <w:rsid w:val="0050104C"/>
    <w:rsid w:val="005E2EC2"/>
    <w:rsid w:val="00842F74"/>
    <w:rsid w:val="0088533D"/>
    <w:rsid w:val="00A613A9"/>
    <w:rsid w:val="00BB332E"/>
    <w:rsid w:val="00C47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508D1"/>
  <w15:chartTrackingRefBased/>
  <w15:docId w15:val="{761AC902-8BA1-4D59-9FB7-7816EDC3B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675</Words>
  <Characters>3849</Characters>
  <Application>Microsoft Office Word</Application>
  <DocSecurity>0</DocSecurity>
  <Lines>32</Lines>
  <Paragraphs>9</Paragraphs>
  <ScaleCrop>false</ScaleCrop>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Yao Mianzhi</dc:creator>
  <cp:keywords/>
  <dc:description/>
  <cp:lastModifiedBy>Yao Mianzhi</cp:lastModifiedBy>
  <cp:revision>4</cp:revision>
  <dcterms:created xsi:type="dcterms:W3CDTF">2022-05-16T02:21:00Z</dcterms:created>
  <dcterms:modified xsi:type="dcterms:W3CDTF">2022-05-16T03:12:00Z</dcterms:modified>
</cp:coreProperties>
</file>