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1357" w:rsidRPr="0035375D" w:rsidRDefault="00AC52F6" w:rsidP="00AC52F6">
      <w:pPr>
        <w:jc w:val="center"/>
        <w:rPr>
          <w:b/>
          <w:sz w:val="24"/>
          <w:szCs w:val="24"/>
        </w:rPr>
      </w:pPr>
      <w:r w:rsidRPr="0035375D">
        <w:rPr>
          <w:b/>
          <w:sz w:val="24"/>
          <w:szCs w:val="24"/>
        </w:rPr>
        <w:t>Silver</w:t>
      </w:r>
      <w:r w:rsidR="00316FB6">
        <w:rPr>
          <w:b/>
          <w:sz w:val="24"/>
          <w:szCs w:val="24"/>
        </w:rPr>
        <w:t>nano</w:t>
      </w:r>
      <w:r w:rsidRPr="0035375D">
        <w:rPr>
          <w:b/>
          <w:sz w:val="24"/>
          <w:szCs w:val="24"/>
        </w:rPr>
        <w:t xml:space="preserve"> bullets as an antibacterial and wound healing agents</w:t>
      </w:r>
    </w:p>
    <w:p w:rsidR="007D1357" w:rsidRPr="0035375D" w:rsidRDefault="00AC52F6" w:rsidP="0035375D">
      <w:pPr>
        <w:spacing w:line="218" w:lineRule="auto"/>
        <w:ind w:right="60"/>
        <w:jc w:val="center"/>
        <w:rPr>
          <w:sz w:val="24"/>
          <w:szCs w:val="24"/>
        </w:rPr>
      </w:pPr>
      <w:proofErr w:type="spellStart"/>
      <w:r w:rsidRPr="0035375D">
        <w:rPr>
          <w:rFonts w:eastAsia="Calibri"/>
          <w:sz w:val="24"/>
          <w:szCs w:val="24"/>
        </w:rPr>
        <w:t>Raghunandan</w:t>
      </w:r>
      <w:proofErr w:type="spellEnd"/>
      <w:r w:rsidRPr="0035375D">
        <w:rPr>
          <w:rFonts w:eastAsia="Calibri"/>
          <w:sz w:val="24"/>
          <w:szCs w:val="24"/>
        </w:rPr>
        <w:t xml:space="preserve"> </w:t>
      </w:r>
      <w:proofErr w:type="spellStart"/>
      <w:r w:rsidRPr="0035375D">
        <w:rPr>
          <w:rFonts w:eastAsia="Calibri"/>
          <w:sz w:val="24"/>
          <w:szCs w:val="24"/>
        </w:rPr>
        <w:t>Deshpande</w:t>
      </w:r>
      <w:proofErr w:type="spellEnd"/>
      <w:r w:rsidRPr="0035375D">
        <w:rPr>
          <w:rFonts w:eastAsia="Calibri"/>
          <w:sz w:val="24"/>
          <w:szCs w:val="24"/>
        </w:rPr>
        <w:t xml:space="preserve">, </w:t>
      </w:r>
      <w:proofErr w:type="spellStart"/>
      <w:r w:rsidRPr="0035375D">
        <w:rPr>
          <w:rFonts w:eastAsia="Calibri"/>
          <w:sz w:val="24"/>
          <w:szCs w:val="24"/>
        </w:rPr>
        <w:t>Shivakumar</w:t>
      </w:r>
      <w:proofErr w:type="spellEnd"/>
      <w:r w:rsidRPr="0035375D">
        <w:rPr>
          <w:rFonts w:eastAsia="Calibri"/>
          <w:sz w:val="24"/>
          <w:szCs w:val="24"/>
        </w:rPr>
        <w:t xml:space="preserve"> </w:t>
      </w:r>
      <w:proofErr w:type="spellStart"/>
      <w:r w:rsidRPr="0035375D">
        <w:rPr>
          <w:rFonts w:eastAsia="Calibri"/>
          <w:sz w:val="24"/>
          <w:szCs w:val="24"/>
        </w:rPr>
        <w:t>Inamdar</w:t>
      </w:r>
      <w:proofErr w:type="spellEnd"/>
    </w:p>
    <w:p w:rsidR="007D1357" w:rsidRPr="00C05B9E" w:rsidRDefault="007D1357" w:rsidP="00C05B9E">
      <w:pPr>
        <w:spacing w:line="292" w:lineRule="exact"/>
        <w:jc w:val="both"/>
      </w:pPr>
    </w:p>
    <w:p w:rsidR="007D1357" w:rsidRPr="00C05B9E" w:rsidRDefault="00AC52F6" w:rsidP="00C05B9E">
      <w:pPr>
        <w:spacing w:line="217" w:lineRule="auto"/>
        <w:ind w:right="580"/>
        <w:jc w:val="both"/>
      </w:pPr>
      <w:proofErr w:type="spellStart"/>
      <w:r w:rsidRPr="00C05B9E">
        <w:rPr>
          <w:rFonts w:eastAsia="Calibri"/>
        </w:rPr>
        <w:t>Nano</w:t>
      </w:r>
      <w:proofErr w:type="spellEnd"/>
      <w:r w:rsidRPr="00C05B9E">
        <w:rPr>
          <w:rFonts w:eastAsia="Calibri"/>
        </w:rPr>
        <w:t xml:space="preserve"> and Allied Sciences</w:t>
      </w:r>
      <w:r w:rsidR="00FC4132" w:rsidRPr="00C05B9E">
        <w:rPr>
          <w:rFonts w:eastAsia="Calibri"/>
        </w:rPr>
        <w:t xml:space="preserve">, Faculty of Pharmacy, </w:t>
      </w:r>
      <w:r w:rsidRPr="00C05B9E">
        <w:rPr>
          <w:rFonts w:eastAsia="Times New Roman"/>
        </w:rPr>
        <w:t xml:space="preserve">H.K.E.S’s </w:t>
      </w:r>
      <w:proofErr w:type="spellStart"/>
      <w:r w:rsidRPr="00C05B9E">
        <w:rPr>
          <w:rFonts w:eastAsia="Times New Roman"/>
        </w:rPr>
        <w:t>Matoshree</w:t>
      </w:r>
      <w:proofErr w:type="spellEnd"/>
      <w:r w:rsidRPr="00C05B9E">
        <w:rPr>
          <w:rFonts w:eastAsia="Times New Roman"/>
        </w:rPr>
        <w:t xml:space="preserve"> </w:t>
      </w:r>
      <w:proofErr w:type="spellStart"/>
      <w:r w:rsidRPr="00C05B9E">
        <w:rPr>
          <w:rFonts w:eastAsia="Times New Roman"/>
        </w:rPr>
        <w:t>Taradevi</w:t>
      </w:r>
      <w:proofErr w:type="spellEnd"/>
      <w:r w:rsidRPr="00C05B9E">
        <w:rPr>
          <w:rFonts w:eastAsia="Times New Roman"/>
        </w:rPr>
        <w:t xml:space="preserve"> </w:t>
      </w:r>
      <w:proofErr w:type="spellStart"/>
      <w:r w:rsidRPr="00C05B9E">
        <w:rPr>
          <w:rFonts w:eastAsia="Times New Roman"/>
        </w:rPr>
        <w:t>Rampure</w:t>
      </w:r>
      <w:proofErr w:type="spellEnd"/>
      <w:r w:rsidRPr="00C05B9E">
        <w:rPr>
          <w:rFonts w:eastAsia="Times New Roman"/>
        </w:rPr>
        <w:t xml:space="preserve">   </w:t>
      </w:r>
      <w:r w:rsidRPr="00C05B9E">
        <w:rPr>
          <w:rFonts w:eastAsia="Times New Roman"/>
          <w:spacing w:val="-4"/>
        </w:rPr>
        <w:t>I</w:t>
      </w:r>
      <w:r w:rsidRPr="00C05B9E">
        <w:rPr>
          <w:rFonts w:eastAsia="Times New Roman"/>
        </w:rPr>
        <w:t>ns</w:t>
      </w:r>
      <w:r w:rsidRPr="00C05B9E">
        <w:rPr>
          <w:rFonts w:eastAsia="Times New Roman"/>
          <w:spacing w:val="1"/>
        </w:rPr>
        <w:t>t</w:t>
      </w:r>
      <w:r w:rsidRPr="00C05B9E">
        <w:rPr>
          <w:rFonts w:eastAsia="Times New Roman"/>
          <w:spacing w:val="-1"/>
        </w:rPr>
        <w:t>i</w:t>
      </w:r>
      <w:r w:rsidRPr="00C05B9E">
        <w:rPr>
          <w:rFonts w:eastAsia="Times New Roman"/>
          <w:spacing w:val="1"/>
        </w:rPr>
        <w:t>t</w:t>
      </w:r>
      <w:r w:rsidRPr="00C05B9E">
        <w:rPr>
          <w:rFonts w:eastAsia="Times New Roman"/>
          <w:spacing w:val="-2"/>
        </w:rPr>
        <w:t>u</w:t>
      </w:r>
      <w:r w:rsidRPr="00C05B9E">
        <w:rPr>
          <w:rFonts w:eastAsia="Times New Roman"/>
          <w:spacing w:val="1"/>
        </w:rPr>
        <w:t>t</w:t>
      </w:r>
      <w:r w:rsidRPr="00C05B9E">
        <w:rPr>
          <w:rFonts w:eastAsia="Times New Roman"/>
        </w:rPr>
        <w:t xml:space="preserve">e </w:t>
      </w:r>
      <w:r w:rsidRPr="00C05B9E">
        <w:t>o</w:t>
      </w:r>
      <w:r w:rsidRPr="00C05B9E">
        <w:rPr>
          <w:rFonts w:eastAsia="Times New Roman"/>
          <w:spacing w:val="47"/>
        </w:rPr>
        <w:t>f</w:t>
      </w:r>
      <w:r w:rsidRPr="00C05B9E">
        <w:rPr>
          <w:rFonts w:eastAsia="Times New Roman"/>
        </w:rPr>
        <w:t xml:space="preserve">   Ph</w:t>
      </w:r>
      <w:r w:rsidRPr="00C05B9E">
        <w:rPr>
          <w:rFonts w:eastAsia="Times New Roman"/>
          <w:spacing w:val="-2"/>
        </w:rPr>
        <w:t>a</w:t>
      </w:r>
      <w:r w:rsidRPr="00C05B9E">
        <w:rPr>
          <w:rFonts w:eastAsia="Times New Roman"/>
          <w:spacing w:val="1"/>
        </w:rPr>
        <w:t>r</w:t>
      </w:r>
      <w:r w:rsidRPr="00C05B9E">
        <w:rPr>
          <w:rFonts w:eastAsia="Times New Roman"/>
          <w:spacing w:val="-4"/>
        </w:rPr>
        <w:t>m</w:t>
      </w:r>
      <w:r w:rsidRPr="00C05B9E">
        <w:rPr>
          <w:rFonts w:eastAsia="Times New Roman"/>
        </w:rPr>
        <w:t>aceu</w:t>
      </w:r>
      <w:r w:rsidRPr="00C05B9E">
        <w:rPr>
          <w:rFonts w:eastAsia="Times New Roman"/>
          <w:spacing w:val="-1"/>
        </w:rPr>
        <w:t>t</w:t>
      </w:r>
      <w:r w:rsidRPr="00C05B9E">
        <w:rPr>
          <w:rFonts w:eastAsia="Times New Roman"/>
          <w:spacing w:val="1"/>
        </w:rPr>
        <w:t>i</w:t>
      </w:r>
      <w:r w:rsidRPr="00C05B9E">
        <w:rPr>
          <w:rFonts w:eastAsia="Times New Roman"/>
        </w:rPr>
        <w:t>c</w:t>
      </w:r>
      <w:r w:rsidRPr="00C05B9E">
        <w:rPr>
          <w:rFonts w:eastAsia="Times New Roman"/>
          <w:spacing w:val="-2"/>
        </w:rPr>
        <w:t>a</w:t>
      </w:r>
      <w:r w:rsidRPr="00C05B9E">
        <w:rPr>
          <w:rFonts w:eastAsia="Times New Roman"/>
        </w:rPr>
        <w:t>l   S</w:t>
      </w:r>
      <w:r w:rsidRPr="00C05B9E">
        <w:rPr>
          <w:rFonts w:eastAsia="Times New Roman"/>
          <w:spacing w:val="-2"/>
        </w:rPr>
        <w:t>c</w:t>
      </w:r>
      <w:r w:rsidRPr="00C05B9E">
        <w:rPr>
          <w:rFonts w:eastAsia="Times New Roman"/>
          <w:spacing w:val="1"/>
        </w:rPr>
        <w:t>i</w:t>
      </w:r>
      <w:r w:rsidRPr="00C05B9E">
        <w:rPr>
          <w:rFonts w:eastAsia="Times New Roman"/>
          <w:spacing w:val="-2"/>
        </w:rPr>
        <w:t>e</w:t>
      </w:r>
      <w:r w:rsidRPr="00C05B9E">
        <w:rPr>
          <w:rFonts w:eastAsia="Times New Roman"/>
        </w:rPr>
        <w:t>nce</w:t>
      </w:r>
      <w:r w:rsidRPr="00C05B9E">
        <w:rPr>
          <w:rFonts w:eastAsia="Times New Roman"/>
          <w:spacing w:val="-2"/>
        </w:rPr>
        <w:t>s</w:t>
      </w:r>
      <w:r w:rsidRPr="00C05B9E">
        <w:rPr>
          <w:rFonts w:eastAsia="Times New Roman"/>
        </w:rPr>
        <w:t xml:space="preserve">, </w:t>
      </w:r>
      <w:proofErr w:type="spellStart"/>
      <w:r w:rsidRPr="00C05B9E">
        <w:rPr>
          <w:rFonts w:eastAsia="Times New Roman"/>
        </w:rPr>
        <w:t>M</w:t>
      </w:r>
      <w:r w:rsidRPr="00C05B9E">
        <w:rPr>
          <w:rFonts w:eastAsia="Times New Roman"/>
          <w:spacing w:val="1"/>
        </w:rPr>
        <w:t>a</w:t>
      </w:r>
      <w:r w:rsidRPr="00C05B9E">
        <w:rPr>
          <w:rFonts w:eastAsia="Times New Roman"/>
        </w:rPr>
        <w:t>ha</w:t>
      </w:r>
      <w:r w:rsidRPr="00C05B9E">
        <w:rPr>
          <w:rFonts w:eastAsia="Times New Roman"/>
          <w:spacing w:val="-2"/>
        </w:rPr>
        <w:t>d</w:t>
      </w:r>
      <w:r w:rsidRPr="00C05B9E">
        <w:rPr>
          <w:rFonts w:eastAsia="Times New Roman"/>
        </w:rPr>
        <w:t>e</w:t>
      </w:r>
      <w:r w:rsidRPr="00C05B9E">
        <w:rPr>
          <w:rFonts w:eastAsia="Times New Roman"/>
          <w:spacing w:val="-2"/>
        </w:rPr>
        <w:t>v</w:t>
      </w:r>
      <w:r w:rsidRPr="00C05B9E">
        <w:rPr>
          <w:rFonts w:eastAsia="Times New Roman"/>
        </w:rPr>
        <w:t>appa</w:t>
      </w:r>
      <w:proofErr w:type="spellEnd"/>
      <w:r w:rsidRPr="00C05B9E">
        <w:rPr>
          <w:rFonts w:eastAsia="Times New Roman"/>
        </w:rPr>
        <w:t xml:space="preserve"> </w:t>
      </w:r>
      <w:proofErr w:type="spellStart"/>
      <w:r w:rsidRPr="00C05B9E">
        <w:rPr>
          <w:rFonts w:eastAsia="Times New Roman"/>
          <w:spacing w:val="-1"/>
        </w:rPr>
        <w:t>R</w:t>
      </w:r>
      <w:r w:rsidRPr="00C05B9E">
        <w:rPr>
          <w:rFonts w:eastAsia="Times New Roman"/>
        </w:rPr>
        <w:t>a</w:t>
      </w:r>
      <w:r w:rsidRPr="00C05B9E">
        <w:rPr>
          <w:rFonts w:eastAsia="Times New Roman"/>
          <w:spacing w:val="-3"/>
        </w:rPr>
        <w:t>m</w:t>
      </w:r>
      <w:r w:rsidRPr="00C05B9E">
        <w:rPr>
          <w:rFonts w:eastAsia="Times New Roman"/>
        </w:rPr>
        <w:t>pu</w:t>
      </w:r>
      <w:r w:rsidRPr="00C05B9E">
        <w:rPr>
          <w:rFonts w:eastAsia="Times New Roman"/>
          <w:spacing w:val="1"/>
        </w:rPr>
        <w:t>r</w:t>
      </w:r>
      <w:r w:rsidRPr="00C05B9E">
        <w:rPr>
          <w:rFonts w:eastAsia="Times New Roman"/>
        </w:rPr>
        <w:t>e</w:t>
      </w:r>
      <w:proofErr w:type="spellEnd"/>
      <w:r w:rsidRPr="00C05B9E">
        <w:rPr>
          <w:rFonts w:eastAsia="Times New Roman"/>
        </w:rPr>
        <w:t xml:space="preserve"> </w:t>
      </w:r>
      <w:proofErr w:type="spellStart"/>
      <w:r w:rsidRPr="00C05B9E">
        <w:rPr>
          <w:rFonts w:eastAsia="Times New Roman"/>
        </w:rPr>
        <w:t>M</w:t>
      </w:r>
      <w:r w:rsidRPr="00C05B9E">
        <w:rPr>
          <w:rFonts w:eastAsia="Times New Roman"/>
          <w:spacing w:val="1"/>
        </w:rPr>
        <w:t>ar</w:t>
      </w:r>
      <w:r w:rsidRPr="00C05B9E">
        <w:rPr>
          <w:rFonts w:eastAsia="Times New Roman"/>
          <w:spacing w:val="-2"/>
        </w:rPr>
        <w:t>g</w:t>
      </w:r>
      <w:proofErr w:type="spellEnd"/>
      <w:r w:rsidRPr="00C05B9E">
        <w:rPr>
          <w:rFonts w:eastAsia="Times New Roman"/>
        </w:rPr>
        <w:t xml:space="preserve">, </w:t>
      </w:r>
      <w:proofErr w:type="spellStart"/>
      <w:r w:rsidRPr="00C05B9E">
        <w:rPr>
          <w:rFonts w:eastAsia="Times New Roman"/>
        </w:rPr>
        <w:t>Se</w:t>
      </w:r>
      <w:r w:rsidRPr="00C05B9E">
        <w:rPr>
          <w:rFonts w:eastAsia="Times New Roman"/>
          <w:spacing w:val="-2"/>
        </w:rPr>
        <w:t>d</w:t>
      </w:r>
      <w:r w:rsidRPr="00C05B9E">
        <w:rPr>
          <w:rFonts w:eastAsia="Times New Roman"/>
        </w:rPr>
        <w:t>am</w:t>
      </w:r>
      <w:proofErr w:type="spellEnd"/>
      <w:r w:rsidRPr="00C05B9E">
        <w:rPr>
          <w:rFonts w:eastAsia="Times New Roman"/>
        </w:rPr>
        <w:t xml:space="preserve"> </w:t>
      </w:r>
      <w:r w:rsidRPr="00C05B9E">
        <w:rPr>
          <w:rFonts w:eastAsia="Times New Roman"/>
          <w:spacing w:val="-1"/>
        </w:rPr>
        <w:t>R</w:t>
      </w:r>
      <w:r w:rsidRPr="00C05B9E">
        <w:rPr>
          <w:rFonts w:eastAsia="Times New Roman"/>
        </w:rPr>
        <w:t xml:space="preserve">oad, </w:t>
      </w:r>
      <w:r w:rsidRPr="00C05B9E">
        <w:rPr>
          <w:rFonts w:eastAsia="Times New Roman"/>
          <w:spacing w:val="-1"/>
        </w:rPr>
        <w:t>GU</w:t>
      </w:r>
      <w:r w:rsidRPr="00C05B9E">
        <w:rPr>
          <w:rFonts w:eastAsia="Times New Roman"/>
        </w:rPr>
        <w:t>L</w:t>
      </w:r>
      <w:r w:rsidRPr="00C05B9E">
        <w:rPr>
          <w:rFonts w:eastAsia="Times New Roman"/>
          <w:spacing w:val="-1"/>
        </w:rPr>
        <w:t>BARG</w:t>
      </w:r>
      <w:r w:rsidRPr="00C05B9E">
        <w:rPr>
          <w:rFonts w:eastAsia="Times New Roman"/>
        </w:rPr>
        <w:t>A–585105</w:t>
      </w:r>
      <w:r w:rsidR="00FC4132" w:rsidRPr="00C05B9E">
        <w:rPr>
          <w:rFonts w:eastAsia="Calibri"/>
        </w:rPr>
        <w:t xml:space="preserve">, </w:t>
      </w:r>
      <w:r w:rsidRPr="00C05B9E">
        <w:rPr>
          <w:rFonts w:eastAsia="Calibri"/>
        </w:rPr>
        <w:t xml:space="preserve">KA, </w:t>
      </w:r>
      <w:r w:rsidR="00FC4132" w:rsidRPr="00C05B9E">
        <w:rPr>
          <w:rFonts w:eastAsia="Calibri"/>
        </w:rPr>
        <w:t>India.</w:t>
      </w:r>
    </w:p>
    <w:p w:rsidR="007D1357" w:rsidRPr="0035375D" w:rsidRDefault="007D1357">
      <w:pPr>
        <w:spacing w:line="282" w:lineRule="exact"/>
        <w:rPr>
          <w:sz w:val="24"/>
          <w:szCs w:val="24"/>
        </w:rPr>
      </w:pPr>
    </w:p>
    <w:p w:rsidR="007D1357" w:rsidRPr="0035375D" w:rsidRDefault="00FC4132" w:rsidP="00C05B9E">
      <w:pPr>
        <w:ind w:left="100"/>
        <w:jc w:val="center"/>
        <w:rPr>
          <w:sz w:val="24"/>
          <w:szCs w:val="24"/>
        </w:rPr>
      </w:pPr>
      <w:r w:rsidRPr="0035375D">
        <w:rPr>
          <w:rFonts w:eastAsia="Arial"/>
          <w:b/>
          <w:bCs/>
          <w:sz w:val="24"/>
          <w:szCs w:val="24"/>
        </w:rPr>
        <w:t>Abstract</w:t>
      </w:r>
    </w:p>
    <w:p w:rsidR="007D1357" w:rsidRPr="0035375D" w:rsidRDefault="007D1357">
      <w:pPr>
        <w:spacing w:line="97" w:lineRule="exact"/>
        <w:rPr>
          <w:sz w:val="24"/>
          <w:szCs w:val="24"/>
        </w:rPr>
      </w:pPr>
    </w:p>
    <w:p w:rsidR="007D1357" w:rsidRPr="0035375D" w:rsidRDefault="00AC52F6" w:rsidP="0035375D">
      <w:pPr>
        <w:autoSpaceDE w:val="0"/>
        <w:autoSpaceDN w:val="0"/>
        <w:adjustRightInd w:val="0"/>
        <w:contextualSpacing/>
        <w:jc w:val="both"/>
        <w:rPr>
          <w:sz w:val="24"/>
          <w:szCs w:val="24"/>
        </w:rPr>
      </w:pPr>
      <w:r w:rsidRPr="0035375D">
        <w:rPr>
          <w:rFonts w:eastAsia="Times New Roman"/>
          <w:sz w:val="24"/>
          <w:szCs w:val="24"/>
        </w:rPr>
        <w:t>It is understood that the silver salts and the ions formed have seldom usage as an antimicrobials. As such Ag</w:t>
      </w:r>
      <w:r w:rsidRPr="0035375D">
        <w:rPr>
          <w:rFonts w:eastAsia="Times New Roman"/>
          <w:sz w:val="24"/>
          <w:szCs w:val="24"/>
          <w:vertAlign w:val="superscript"/>
        </w:rPr>
        <w:t>+</w:t>
      </w:r>
      <w:r w:rsidRPr="0035375D">
        <w:rPr>
          <w:rFonts w:eastAsia="Times New Roman"/>
          <w:sz w:val="24"/>
          <w:szCs w:val="24"/>
        </w:rPr>
        <w:t xml:space="preserve"> ions and salts of silver have only limited usefulness as anti-pathogenic agents. One of the most possible reasons is the toxicity of the silver salts to the host as it continuously releases silver ions at a higher level. Such problems can be avoided using silver nanoparticles. </w:t>
      </w:r>
      <w:r w:rsidRPr="0035375D">
        <w:rPr>
          <w:sz w:val="24"/>
          <w:szCs w:val="24"/>
        </w:rPr>
        <w:t>We envisage here the new, simple and efficient microwave-assisted route of rapid extracellular synthesis of monodispersed, spherical shaped silver nanoparticles from different microorganisms, plants and bio-</w:t>
      </w:r>
      <w:proofErr w:type="spellStart"/>
      <w:r w:rsidRPr="0035375D">
        <w:rPr>
          <w:sz w:val="24"/>
          <w:szCs w:val="24"/>
        </w:rPr>
        <w:t>excretories</w:t>
      </w:r>
      <w:proofErr w:type="spellEnd"/>
      <w:r w:rsidRPr="0035375D">
        <w:rPr>
          <w:sz w:val="24"/>
          <w:szCs w:val="24"/>
        </w:rPr>
        <w:t xml:space="preserve">.  In plants, it is noticed that a chemical component, </w:t>
      </w:r>
      <w:proofErr w:type="spellStart"/>
      <w:r w:rsidRPr="0035375D">
        <w:rPr>
          <w:sz w:val="24"/>
          <w:szCs w:val="24"/>
        </w:rPr>
        <w:t>flavonoids</w:t>
      </w:r>
      <w:proofErr w:type="spellEnd"/>
      <w:r w:rsidRPr="0035375D">
        <w:rPr>
          <w:sz w:val="24"/>
          <w:szCs w:val="24"/>
        </w:rPr>
        <w:t xml:space="preserve"> are covered the surface of silver nanoparticles </w:t>
      </w:r>
      <w:r w:rsidRPr="0035375D">
        <w:rPr>
          <w:color w:val="000000"/>
          <w:sz w:val="24"/>
          <w:szCs w:val="24"/>
        </w:rPr>
        <w:t xml:space="preserve">There lies a strong challenge to produce stable and safe AgNP to prevent bacterial growth significantly. Though the antibacterial activity of AgNP is being studied extensively, reports on the effect of these bio-functionalized nanoparticles in </w:t>
      </w:r>
      <w:r w:rsidRPr="0035375D">
        <w:rPr>
          <w:sz w:val="24"/>
          <w:szCs w:val="24"/>
        </w:rPr>
        <w:t>particular are rare. Free-radical involvement of AgNP surface in antimicrobial activity is</w:t>
      </w:r>
      <w:r w:rsidRPr="0035375D">
        <w:rPr>
          <w:color w:val="000000"/>
          <w:sz w:val="24"/>
          <w:szCs w:val="24"/>
        </w:rPr>
        <w:t xml:space="preserve"> </w:t>
      </w:r>
      <w:r w:rsidRPr="0035375D">
        <w:rPr>
          <w:sz w:val="24"/>
          <w:szCs w:val="24"/>
        </w:rPr>
        <w:t>discussed based on their zone of inhibition. Biosynthesized AgNP can be</w:t>
      </w:r>
      <w:r w:rsidRPr="0035375D">
        <w:rPr>
          <w:color w:val="000000"/>
          <w:sz w:val="24"/>
          <w:szCs w:val="24"/>
        </w:rPr>
        <w:t xml:space="preserve"> </w:t>
      </w:r>
      <w:r w:rsidRPr="0035375D">
        <w:rPr>
          <w:sz w:val="24"/>
          <w:szCs w:val="24"/>
        </w:rPr>
        <w:t>used as an effective tool in the control of microorganisms at a very low concentration and</w:t>
      </w:r>
      <w:r w:rsidRPr="0035375D">
        <w:rPr>
          <w:color w:val="000000"/>
          <w:sz w:val="24"/>
          <w:szCs w:val="24"/>
        </w:rPr>
        <w:t xml:space="preserve"> </w:t>
      </w:r>
      <w:r w:rsidRPr="0035375D">
        <w:rPr>
          <w:sz w:val="24"/>
          <w:szCs w:val="24"/>
        </w:rPr>
        <w:t>as a preventive agent in deleterious infections. The present study we have also focused on the efficacy of biocompatible silver nanoparticles in</w:t>
      </w:r>
      <w:r w:rsidRPr="0035375D">
        <w:rPr>
          <w:i/>
          <w:sz w:val="24"/>
          <w:szCs w:val="24"/>
        </w:rPr>
        <w:t xml:space="preserve"> vivo </w:t>
      </w:r>
      <w:r w:rsidRPr="0035375D">
        <w:rPr>
          <w:sz w:val="24"/>
          <w:szCs w:val="24"/>
        </w:rPr>
        <w:t xml:space="preserve">wound healing. The </w:t>
      </w:r>
      <w:proofErr w:type="spellStart"/>
      <w:r w:rsidRPr="0035375D">
        <w:rPr>
          <w:sz w:val="24"/>
          <w:szCs w:val="24"/>
        </w:rPr>
        <w:t>nanotoxicology</w:t>
      </w:r>
      <w:proofErr w:type="spellEnd"/>
      <w:r w:rsidRPr="0035375D">
        <w:rPr>
          <w:sz w:val="24"/>
          <w:szCs w:val="24"/>
        </w:rPr>
        <w:t xml:space="preserve"> study aimed to characterize the potential toxic effects of silver and gold nanoparticles in Sprague Dawley rats. They were subjected to detailed clinical, histopathological, hematological, biochemical, examination study during the exposure and at termination.  In conclusion we can say that when silver nanoparticles </w:t>
      </w:r>
      <w:proofErr w:type="spellStart"/>
      <w:r w:rsidRPr="0035375D">
        <w:rPr>
          <w:sz w:val="24"/>
          <w:szCs w:val="24"/>
        </w:rPr>
        <w:t>nanoparticles</w:t>
      </w:r>
      <w:proofErr w:type="spellEnd"/>
      <w:r w:rsidRPr="0035375D">
        <w:rPr>
          <w:sz w:val="24"/>
          <w:szCs w:val="24"/>
        </w:rPr>
        <w:t xml:space="preserve"> are administered in the form of intravenous injections to Sprague Dawley rats daily for four weeks, the </w:t>
      </w:r>
      <w:proofErr w:type="spellStart"/>
      <w:r w:rsidRPr="0035375D">
        <w:rPr>
          <w:sz w:val="24"/>
          <w:szCs w:val="24"/>
        </w:rPr>
        <w:t>no_obseved_effect_level</w:t>
      </w:r>
      <w:proofErr w:type="spellEnd"/>
      <w:r w:rsidRPr="0035375D">
        <w:rPr>
          <w:sz w:val="24"/>
          <w:szCs w:val="24"/>
        </w:rPr>
        <w:t xml:space="preserve"> (NOEL) was found to be greater than 500 mg</w:t>
      </w:r>
      <w:r w:rsidRPr="0035375D">
        <w:rPr>
          <w:iCs/>
          <w:sz w:val="24"/>
          <w:szCs w:val="24"/>
        </w:rPr>
        <w:t>/ kg.</w:t>
      </w:r>
    </w:p>
    <w:p w:rsidR="007D1357" w:rsidRPr="0035375D" w:rsidRDefault="00FC4132">
      <w:pPr>
        <w:rPr>
          <w:sz w:val="24"/>
          <w:szCs w:val="24"/>
        </w:rPr>
      </w:pPr>
      <w:r w:rsidRPr="0035375D">
        <w:rPr>
          <w:rFonts w:eastAsia="Arial"/>
          <w:b/>
          <w:bCs/>
          <w:sz w:val="24"/>
          <w:szCs w:val="24"/>
        </w:rPr>
        <w:t>Recent Publications</w:t>
      </w:r>
    </w:p>
    <w:p w:rsidR="007D1357" w:rsidRPr="0035375D" w:rsidRDefault="007D1357">
      <w:pPr>
        <w:spacing w:line="101" w:lineRule="exact"/>
        <w:rPr>
          <w:sz w:val="24"/>
          <w:szCs w:val="24"/>
        </w:rPr>
      </w:pPr>
    </w:p>
    <w:p w:rsidR="00AC52F6" w:rsidRPr="0035375D" w:rsidRDefault="00AC52F6" w:rsidP="00AC52F6">
      <w:pPr>
        <w:numPr>
          <w:ilvl w:val="0"/>
          <w:numId w:val="2"/>
        </w:numPr>
        <w:jc w:val="both"/>
        <w:rPr>
          <w:sz w:val="20"/>
          <w:szCs w:val="20"/>
        </w:rPr>
      </w:pPr>
      <w:proofErr w:type="spellStart"/>
      <w:r w:rsidRPr="0035375D">
        <w:rPr>
          <w:color w:val="333333"/>
          <w:spacing w:val="4"/>
          <w:sz w:val="20"/>
          <w:szCs w:val="20"/>
          <w:shd w:val="clear" w:color="auto" w:fill="FCFCFC"/>
        </w:rPr>
        <w:t>Parveen</w:t>
      </w:r>
      <w:proofErr w:type="spellEnd"/>
      <w:r w:rsidRPr="0035375D">
        <w:rPr>
          <w:color w:val="333333"/>
          <w:spacing w:val="4"/>
          <w:sz w:val="20"/>
          <w:szCs w:val="20"/>
          <w:shd w:val="clear" w:color="auto" w:fill="FCFCFC"/>
        </w:rPr>
        <w:t xml:space="preserve"> A., </w:t>
      </w:r>
      <w:proofErr w:type="spellStart"/>
      <w:r w:rsidRPr="0035375D">
        <w:rPr>
          <w:color w:val="333333"/>
          <w:spacing w:val="4"/>
          <w:sz w:val="20"/>
          <w:szCs w:val="20"/>
          <w:shd w:val="clear" w:color="auto" w:fill="FCFCFC"/>
        </w:rPr>
        <w:t>Deshpande</w:t>
      </w:r>
      <w:proofErr w:type="spellEnd"/>
      <w:r w:rsidRPr="0035375D">
        <w:rPr>
          <w:color w:val="333333"/>
          <w:spacing w:val="4"/>
          <w:sz w:val="20"/>
          <w:szCs w:val="20"/>
          <w:shd w:val="clear" w:color="auto" w:fill="FCFCFC"/>
        </w:rPr>
        <w:t xml:space="preserve"> R. (2018) Nanobiotechnology in the Health Care: The Game and the Goal. In: Faisal M., </w:t>
      </w:r>
      <w:proofErr w:type="spellStart"/>
      <w:r w:rsidRPr="0035375D">
        <w:rPr>
          <w:color w:val="333333"/>
          <w:spacing w:val="4"/>
          <w:sz w:val="20"/>
          <w:szCs w:val="20"/>
          <w:shd w:val="clear" w:color="auto" w:fill="FCFCFC"/>
        </w:rPr>
        <w:t>Saquib</w:t>
      </w:r>
      <w:proofErr w:type="spellEnd"/>
      <w:r w:rsidRPr="0035375D">
        <w:rPr>
          <w:color w:val="333333"/>
          <w:spacing w:val="4"/>
          <w:sz w:val="20"/>
          <w:szCs w:val="20"/>
          <w:shd w:val="clear" w:color="auto" w:fill="FCFCFC"/>
        </w:rPr>
        <w:t xml:space="preserve"> Q., </w:t>
      </w:r>
      <w:proofErr w:type="spellStart"/>
      <w:r w:rsidRPr="0035375D">
        <w:rPr>
          <w:color w:val="333333"/>
          <w:spacing w:val="4"/>
          <w:sz w:val="20"/>
          <w:szCs w:val="20"/>
          <w:shd w:val="clear" w:color="auto" w:fill="FCFCFC"/>
        </w:rPr>
        <w:t>Alatar</w:t>
      </w:r>
      <w:proofErr w:type="spellEnd"/>
      <w:r w:rsidRPr="0035375D">
        <w:rPr>
          <w:color w:val="333333"/>
          <w:spacing w:val="4"/>
          <w:sz w:val="20"/>
          <w:szCs w:val="20"/>
          <w:shd w:val="clear" w:color="auto" w:fill="FCFCFC"/>
        </w:rPr>
        <w:t xml:space="preserve"> A., Al-</w:t>
      </w:r>
      <w:proofErr w:type="spellStart"/>
      <w:r w:rsidRPr="0035375D">
        <w:rPr>
          <w:color w:val="333333"/>
          <w:spacing w:val="4"/>
          <w:sz w:val="20"/>
          <w:szCs w:val="20"/>
          <w:shd w:val="clear" w:color="auto" w:fill="FCFCFC"/>
        </w:rPr>
        <w:t>Khedhairy</w:t>
      </w:r>
      <w:proofErr w:type="spellEnd"/>
      <w:r w:rsidRPr="0035375D">
        <w:rPr>
          <w:color w:val="333333"/>
          <w:spacing w:val="4"/>
          <w:sz w:val="20"/>
          <w:szCs w:val="20"/>
          <w:shd w:val="clear" w:color="auto" w:fill="FCFCFC"/>
        </w:rPr>
        <w:t xml:space="preserve"> A. (</w:t>
      </w:r>
      <w:proofErr w:type="spellStart"/>
      <w:proofErr w:type="gramStart"/>
      <w:r w:rsidRPr="0035375D">
        <w:rPr>
          <w:color w:val="333333"/>
          <w:spacing w:val="4"/>
          <w:sz w:val="20"/>
          <w:szCs w:val="20"/>
          <w:shd w:val="clear" w:color="auto" w:fill="FCFCFC"/>
        </w:rPr>
        <w:t>eds</w:t>
      </w:r>
      <w:proofErr w:type="spellEnd"/>
      <w:proofErr w:type="gramEnd"/>
      <w:r w:rsidRPr="0035375D">
        <w:rPr>
          <w:color w:val="333333"/>
          <w:spacing w:val="4"/>
          <w:sz w:val="20"/>
          <w:szCs w:val="20"/>
          <w:shd w:val="clear" w:color="auto" w:fill="FCFCFC"/>
        </w:rPr>
        <w:t xml:space="preserve">) </w:t>
      </w:r>
      <w:proofErr w:type="spellStart"/>
      <w:r w:rsidRPr="0035375D">
        <w:rPr>
          <w:color w:val="333333"/>
          <w:spacing w:val="4"/>
          <w:sz w:val="20"/>
          <w:szCs w:val="20"/>
          <w:shd w:val="clear" w:color="auto" w:fill="FCFCFC"/>
        </w:rPr>
        <w:t>Phytotoxicity</w:t>
      </w:r>
      <w:proofErr w:type="spellEnd"/>
      <w:r w:rsidRPr="0035375D">
        <w:rPr>
          <w:color w:val="333333"/>
          <w:spacing w:val="4"/>
          <w:sz w:val="20"/>
          <w:szCs w:val="20"/>
          <w:shd w:val="clear" w:color="auto" w:fill="FCFCFC"/>
        </w:rPr>
        <w:t xml:space="preserve"> of Nanoparticles. Springer, Cham doi.org/10.1007/978-3-319-76708-6_18</w:t>
      </w:r>
    </w:p>
    <w:p w:rsidR="00AC52F6" w:rsidRPr="0035375D" w:rsidRDefault="00AC52F6" w:rsidP="00AC52F6">
      <w:pPr>
        <w:numPr>
          <w:ilvl w:val="0"/>
          <w:numId w:val="2"/>
        </w:numPr>
        <w:jc w:val="both"/>
        <w:rPr>
          <w:sz w:val="20"/>
          <w:szCs w:val="20"/>
        </w:rPr>
      </w:pPr>
      <w:r w:rsidRPr="0035375D">
        <w:rPr>
          <w:sz w:val="20"/>
          <w:szCs w:val="20"/>
        </w:rPr>
        <w:t>Emphasized mechanistic antimicrobial study of biofunctionalized silver nanoparticles on model Proteus mirabilis. 2018 Article ID</w:t>
      </w:r>
      <w:proofErr w:type="gramStart"/>
      <w:r w:rsidRPr="0035375D">
        <w:rPr>
          <w:sz w:val="20"/>
          <w:szCs w:val="20"/>
        </w:rPr>
        <w:t>:3850139</w:t>
      </w:r>
      <w:proofErr w:type="gramEnd"/>
      <w:r w:rsidRPr="0035375D">
        <w:rPr>
          <w:sz w:val="20"/>
          <w:szCs w:val="20"/>
        </w:rPr>
        <w:t>.</w:t>
      </w:r>
    </w:p>
    <w:p w:rsidR="00AC52F6" w:rsidRPr="0035375D" w:rsidRDefault="00AC52F6" w:rsidP="00AC52F6">
      <w:pPr>
        <w:numPr>
          <w:ilvl w:val="0"/>
          <w:numId w:val="2"/>
        </w:numPr>
        <w:jc w:val="both"/>
        <w:rPr>
          <w:sz w:val="20"/>
          <w:szCs w:val="20"/>
        </w:rPr>
      </w:pPr>
      <w:proofErr w:type="spellStart"/>
      <w:r w:rsidRPr="0035375D">
        <w:rPr>
          <w:bCs/>
          <w:sz w:val="20"/>
          <w:szCs w:val="20"/>
          <w:shd w:val="clear" w:color="auto" w:fill="FFFFFF"/>
        </w:rPr>
        <w:t>Phytosynthesis</w:t>
      </w:r>
      <w:proofErr w:type="spellEnd"/>
      <w:r w:rsidRPr="0035375D">
        <w:rPr>
          <w:bCs/>
          <w:sz w:val="20"/>
          <w:szCs w:val="20"/>
          <w:shd w:val="clear" w:color="auto" w:fill="FFFFFF"/>
        </w:rPr>
        <w:t xml:space="preserve"> and Characterization of Noble Metals Nanoparticles. </w:t>
      </w:r>
      <w:proofErr w:type="spellStart"/>
      <w:r w:rsidRPr="0035375D">
        <w:rPr>
          <w:bCs/>
          <w:sz w:val="20"/>
          <w:szCs w:val="20"/>
          <w:shd w:val="clear" w:color="auto" w:fill="FFFFFF"/>
        </w:rPr>
        <w:t>Asra</w:t>
      </w:r>
      <w:proofErr w:type="spellEnd"/>
      <w:r w:rsidRPr="0035375D">
        <w:rPr>
          <w:bCs/>
          <w:sz w:val="20"/>
          <w:szCs w:val="20"/>
          <w:shd w:val="clear" w:color="auto" w:fill="FFFFFF"/>
        </w:rPr>
        <w:t xml:space="preserve"> </w:t>
      </w:r>
      <w:proofErr w:type="spellStart"/>
      <w:r w:rsidRPr="0035375D">
        <w:rPr>
          <w:bCs/>
          <w:sz w:val="20"/>
          <w:szCs w:val="20"/>
          <w:shd w:val="clear" w:color="auto" w:fill="FFFFFF"/>
        </w:rPr>
        <w:t>Parveen</w:t>
      </w:r>
      <w:proofErr w:type="spellEnd"/>
      <w:r w:rsidRPr="0035375D">
        <w:rPr>
          <w:bCs/>
          <w:sz w:val="20"/>
          <w:szCs w:val="20"/>
          <w:shd w:val="clear" w:color="auto" w:fill="FFFFFF"/>
        </w:rPr>
        <w:t>,</w:t>
      </w:r>
      <w:r w:rsidRPr="0035375D">
        <w:rPr>
          <w:sz w:val="20"/>
          <w:szCs w:val="20"/>
          <w:shd w:val="clear" w:color="auto" w:fill="FFFFFF"/>
        </w:rPr>
        <w:t xml:space="preserve"> </w:t>
      </w:r>
      <w:proofErr w:type="spellStart"/>
      <w:r w:rsidRPr="0035375D">
        <w:rPr>
          <w:sz w:val="20"/>
          <w:szCs w:val="20"/>
          <w:shd w:val="clear" w:color="auto" w:fill="FFFFFF"/>
        </w:rPr>
        <w:t>Srinath</w:t>
      </w:r>
      <w:proofErr w:type="spellEnd"/>
      <w:r w:rsidRPr="0035375D">
        <w:rPr>
          <w:sz w:val="20"/>
          <w:szCs w:val="20"/>
          <w:shd w:val="clear" w:color="auto" w:fill="FFFFFF"/>
        </w:rPr>
        <w:t xml:space="preserve"> </w:t>
      </w:r>
      <w:proofErr w:type="spellStart"/>
      <w:r w:rsidRPr="0035375D">
        <w:rPr>
          <w:sz w:val="20"/>
          <w:szCs w:val="20"/>
          <w:shd w:val="clear" w:color="auto" w:fill="FFFFFF"/>
        </w:rPr>
        <w:t>Rao</w:t>
      </w:r>
      <w:proofErr w:type="spellEnd"/>
      <w:r w:rsidRPr="0035375D">
        <w:rPr>
          <w:sz w:val="20"/>
          <w:szCs w:val="20"/>
          <w:shd w:val="clear" w:color="auto" w:fill="FFFFFF"/>
        </w:rPr>
        <w:t xml:space="preserve"> and</w:t>
      </w:r>
      <w:r w:rsidRPr="0035375D">
        <w:rPr>
          <w:bCs/>
          <w:sz w:val="20"/>
          <w:szCs w:val="20"/>
          <w:shd w:val="clear" w:color="auto" w:fill="FFFFFF"/>
        </w:rPr>
        <w:t xml:space="preserve"> </w:t>
      </w:r>
      <w:proofErr w:type="spellStart"/>
      <w:r w:rsidRPr="0035375D">
        <w:rPr>
          <w:bCs/>
          <w:sz w:val="20"/>
          <w:szCs w:val="20"/>
          <w:shd w:val="clear" w:color="auto" w:fill="FFFFFF"/>
        </w:rPr>
        <w:t>Raghunandan</w:t>
      </w:r>
      <w:proofErr w:type="spellEnd"/>
      <w:r w:rsidRPr="0035375D">
        <w:rPr>
          <w:bCs/>
          <w:sz w:val="20"/>
          <w:szCs w:val="20"/>
          <w:shd w:val="clear" w:color="auto" w:fill="FFFFFF"/>
        </w:rPr>
        <w:t xml:space="preserve"> </w:t>
      </w:r>
      <w:proofErr w:type="spellStart"/>
      <w:r w:rsidRPr="0035375D">
        <w:rPr>
          <w:bCs/>
          <w:sz w:val="20"/>
          <w:szCs w:val="20"/>
          <w:shd w:val="clear" w:color="auto" w:fill="FFFFFF"/>
        </w:rPr>
        <w:t>Deshpande</w:t>
      </w:r>
      <w:proofErr w:type="spellEnd"/>
      <w:r w:rsidRPr="0035375D">
        <w:rPr>
          <w:bCs/>
          <w:sz w:val="20"/>
          <w:szCs w:val="20"/>
          <w:shd w:val="clear" w:color="auto" w:fill="FFFFFF"/>
        </w:rPr>
        <w:t>.  Lambert Academic Publishing, Mauritius, 2018. ISBN. 978-613-9-81495-4.</w:t>
      </w:r>
    </w:p>
    <w:p w:rsidR="007D1357" w:rsidRPr="0035375D" w:rsidRDefault="00AC52F6" w:rsidP="0035375D">
      <w:pPr>
        <w:numPr>
          <w:ilvl w:val="0"/>
          <w:numId w:val="2"/>
        </w:numPr>
        <w:jc w:val="both"/>
        <w:rPr>
          <w:sz w:val="20"/>
          <w:szCs w:val="20"/>
        </w:rPr>
      </w:pPr>
      <w:r w:rsidRPr="0035375D">
        <w:rPr>
          <w:sz w:val="20"/>
          <w:szCs w:val="20"/>
        </w:rPr>
        <w:t>Bio-functionalized gold nanoparticles: Benign effect in Sprague-Dawley rats by intravenous administration</w:t>
      </w:r>
      <w:r w:rsidRPr="0035375D">
        <w:rPr>
          <w:bCs/>
          <w:kern w:val="36"/>
          <w:sz w:val="20"/>
          <w:szCs w:val="20"/>
        </w:rPr>
        <w:t xml:space="preserve"> </w:t>
      </w:r>
      <w:r w:rsidRPr="0035375D">
        <w:rPr>
          <w:rStyle w:val="publication-meta-separator"/>
          <w:sz w:val="20"/>
          <w:szCs w:val="20"/>
        </w:rPr>
        <w:t>in</w:t>
      </w:r>
      <w:r w:rsidRPr="0035375D">
        <w:rPr>
          <w:rStyle w:val="publication-meta-journal"/>
          <w:sz w:val="20"/>
          <w:szCs w:val="20"/>
        </w:rPr>
        <w:t> </w:t>
      </w:r>
      <w:hyperlink r:id="rId5" w:history="1">
        <w:r w:rsidRPr="0035375D">
          <w:rPr>
            <w:rStyle w:val="Hyperlink"/>
            <w:sz w:val="20"/>
            <w:szCs w:val="20"/>
          </w:rPr>
          <w:t>Saudi Journal of Biological Sciences</w:t>
        </w:r>
      </w:hyperlink>
      <w:r w:rsidRPr="0035375D">
        <w:rPr>
          <w:rStyle w:val="publication-meta-date"/>
          <w:sz w:val="20"/>
          <w:szCs w:val="20"/>
        </w:rPr>
        <w:t> · November 2017</w:t>
      </w:r>
      <w:r w:rsidRPr="0035375D">
        <w:rPr>
          <w:sz w:val="20"/>
          <w:szCs w:val="20"/>
        </w:rPr>
        <w:t> </w:t>
      </w:r>
      <w:r w:rsidRPr="0035375D">
        <w:rPr>
          <w:sz w:val="20"/>
          <w:szCs w:val="20"/>
        </w:rPr>
        <w:t xml:space="preserve">DOI: 10.1016/j.sjbs.2017.11.041 </w:t>
      </w:r>
    </w:p>
    <w:p w:rsidR="0035375D" w:rsidRPr="0035375D" w:rsidRDefault="0035375D" w:rsidP="0035375D">
      <w:pPr>
        <w:numPr>
          <w:ilvl w:val="0"/>
          <w:numId w:val="2"/>
        </w:numPr>
        <w:jc w:val="both"/>
        <w:rPr>
          <w:sz w:val="20"/>
          <w:szCs w:val="20"/>
        </w:rPr>
      </w:pPr>
      <w:r w:rsidRPr="0035375D">
        <w:rPr>
          <w:sz w:val="20"/>
          <w:szCs w:val="20"/>
        </w:rPr>
        <w:t>Rapid biosynthesis of irregular shaped gold nanoparticles from macerated aqueous extracellular dried clove buds (</w:t>
      </w:r>
      <w:proofErr w:type="spellStart"/>
      <w:r w:rsidRPr="0035375D">
        <w:rPr>
          <w:iCs/>
          <w:sz w:val="20"/>
          <w:szCs w:val="20"/>
        </w:rPr>
        <w:t>Syzygium</w:t>
      </w:r>
      <w:proofErr w:type="spellEnd"/>
      <w:r w:rsidRPr="0035375D">
        <w:rPr>
          <w:iCs/>
          <w:sz w:val="20"/>
          <w:szCs w:val="20"/>
        </w:rPr>
        <w:t xml:space="preserve"> </w:t>
      </w:r>
      <w:proofErr w:type="spellStart"/>
      <w:r w:rsidRPr="0035375D">
        <w:rPr>
          <w:iCs/>
          <w:sz w:val="20"/>
          <w:szCs w:val="20"/>
        </w:rPr>
        <w:t>aromaticum</w:t>
      </w:r>
      <w:proofErr w:type="spellEnd"/>
      <w:r w:rsidRPr="0035375D">
        <w:rPr>
          <w:sz w:val="20"/>
          <w:szCs w:val="20"/>
        </w:rPr>
        <w:t xml:space="preserve">) solution. </w:t>
      </w:r>
      <w:proofErr w:type="spellStart"/>
      <w:r w:rsidRPr="0035375D">
        <w:rPr>
          <w:sz w:val="20"/>
          <w:szCs w:val="20"/>
        </w:rPr>
        <w:t>Raghunandan</w:t>
      </w:r>
      <w:proofErr w:type="spellEnd"/>
      <w:r w:rsidRPr="0035375D">
        <w:rPr>
          <w:sz w:val="20"/>
          <w:szCs w:val="20"/>
        </w:rPr>
        <w:t xml:space="preserve"> D, </w:t>
      </w:r>
      <w:proofErr w:type="spellStart"/>
      <w:r w:rsidRPr="0035375D">
        <w:rPr>
          <w:sz w:val="20"/>
          <w:szCs w:val="20"/>
        </w:rPr>
        <w:t>Bedre</w:t>
      </w:r>
      <w:proofErr w:type="spellEnd"/>
      <w:r w:rsidRPr="0035375D">
        <w:rPr>
          <w:sz w:val="20"/>
          <w:szCs w:val="20"/>
        </w:rPr>
        <w:t xml:space="preserve"> MD, </w:t>
      </w:r>
      <w:proofErr w:type="spellStart"/>
      <w:r w:rsidRPr="0035375D">
        <w:rPr>
          <w:sz w:val="20"/>
          <w:szCs w:val="20"/>
        </w:rPr>
        <w:t>Basavaraja</w:t>
      </w:r>
      <w:proofErr w:type="spellEnd"/>
      <w:r w:rsidRPr="0035375D">
        <w:rPr>
          <w:sz w:val="20"/>
          <w:szCs w:val="20"/>
        </w:rPr>
        <w:t xml:space="preserve"> S, </w:t>
      </w:r>
      <w:proofErr w:type="spellStart"/>
      <w:r w:rsidRPr="0035375D">
        <w:rPr>
          <w:sz w:val="20"/>
          <w:szCs w:val="20"/>
        </w:rPr>
        <w:t>Sawle</w:t>
      </w:r>
      <w:proofErr w:type="spellEnd"/>
      <w:r w:rsidRPr="0035375D">
        <w:rPr>
          <w:sz w:val="20"/>
          <w:szCs w:val="20"/>
        </w:rPr>
        <w:t xml:space="preserve"> B, </w:t>
      </w:r>
      <w:proofErr w:type="spellStart"/>
      <w:r w:rsidRPr="0035375D">
        <w:rPr>
          <w:sz w:val="20"/>
          <w:szCs w:val="20"/>
        </w:rPr>
        <w:t>Manjunath</w:t>
      </w:r>
      <w:proofErr w:type="spellEnd"/>
      <w:r w:rsidRPr="0035375D">
        <w:rPr>
          <w:sz w:val="20"/>
          <w:szCs w:val="20"/>
        </w:rPr>
        <w:t xml:space="preserve"> SY, </w:t>
      </w:r>
      <w:proofErr w:type="spellStart"/>
      <w:r w:rsidRPr="0035375D">
        <w:rPr>
          <w:sz w:val="20"/>
          <w:szCs w:val="20"/>
        </w:rPr>
        <w:t>Venkataraman</w:t>
      </w:r>
      <w:proofErr w:type="spellEnd"/>
      <w:r w:rsidRPr="0035375D">
        <w:rPr>
          <w:sz w:val="20"/>
          <w:szCs w:val="20"/>
        </w:rPr>
        <w:t xml:space="preserve"> A. </w:t>
      </w:r>
      <w:r w:rsidRPr="0035375D">
        <w:rPr>
          <w:iCs/>
          <w:sz w:val="20"/>
          <w:szCs w:val="20"/>
        </w:rPr>
        <w:t xml:space="preserve">Colloids and surfaces B: </w:t>
      </w:r>
      <w:proofErr w:type="spellStart"/>
      <w:r w:rsidRPr="0035375D">
        <w:rPr>
          <w:iCs/>
          <w:sz w:val="20"/>
          <w:szCs w:val="20"/>
        </w:rPr>
        <w:t>Biointerfaces</w:t>
      </w:r>
      <w:proofErr w:type="spellEnd"/>
      <w:r w:rsidRPr="0035375D">
        <w:rPr>
          <w:iCs/>
          <w:sz w:val="20"/>
          <w:szCs w:val="20"/>
        </w:rPr>
        <w:t xml:space="preserve"> </w:t>
      </w:r>
      <w:r w:rsidRPr="0035375D">
        <w:rPr>
          <w:sz w:val="20"/>
          <w:szCs w:val="20"/>
        </w:rPr>
        <w:t xml:space="preserve">El s e vi e r </w:t>
      </w:r>
      <w:r w:rsidRPr="0035375D">
        <w:rPr>
          <w:bCs/>
          <w:sz w:val="20"/>
          <w:szCs w:val="20"/>
        </w:rPr>
        <w:t>2010</w:t>
      </w:r>
      <w:r w:rsidRPr="0035375D">
        <w:rPr>
          <w:sz w:val="20"/>
          <w:szCs w:val="20"/>
        </w:rPr>
        <w:t xml:space="preserve">; 79(1): 235-240. Doi:10.1016/ j.colsurfb.2010.04.003 IF: 3.554 </w:t>
      </w:r>
    </w:p>
    <w:p w:rsidR="007D1357" w:rsidRPr="0035375D" w:rsidRDefault="007D1357" w:rsidP="0035375D">
      <w:pPr>
        <w:spacing w:line="20" w:lineRule="exact"/>
        <w:rPr>
          <w:sz w:val="24"/>
          <w:szCs w:val="24"/>
        </w:rPr>
      </w:pPr>
    </w:p>
    <w:p w:rsidR="00FC4132" w:rsidRDefault="00FC4132" w:rsidP="0035375D">
      <w:pPr>
        <w:spacing w:line="200" w:lineRule="exact"/>
        <w:rPr>
          <w:sz w:val="24"/>
          <w:szCs w:val="24"/>
        </w:rPr>
      </w:pPr>
    </w:p>
    <w:p w:rsidR="007D1357" w:rsidRPr="0035375D" w:rsidRDefault="00C72DCC" w:rsidP="0035375D">
      <w:pPr>
        <w:spacing w:line="200" w:lineRule="exact"/>
        <w:rPr>
          <w:sz w:val="24"/>
          <w:szCs w:val="24"/>
        </w:rPr>
      </w:pPr>
      <w:r>
        <w:rPr>
          <w:sz w:val="24"/>
          <w:szCs w:val="24"/>
        </w:rPr>
        <w:pict>
          <v:line id="Shape 2" o:spid="_x0000_s1027" style="position:absolute;z-index:251658240;visibility:visible;mso-wrap-distance-left:0;mso-wrap-distance-right:0" from="111.2pt,2.85pt" to="422.25pt,2.85pt" o:allowincell="f" strokecolor="#004080" strokeweight="2pt"/>
        </w:pict>
      </w:r>
    </w:p>
    <w:p w:rsidR="007D1357" w:rsidRPr="0035375D" w:rsidRDefault="007D1357">
      <w:pPr>
        <w:spacing w:line="42" w:lineRule="exact"/>
        <w:rPr>
          <w:sz w:val="24"/>
          <w:szCs w:val="24"/>
        </w:rPr>
      </w:pPr>
    </w:p>
    <w:p w:rsidR="00FC4132" w:rsidRDefault="00FC4132" w:rsidP="0035375D">
      <w:pPr>
        <w:autoSpaceDE w:val="0"/>
        <w:autoSpaceDN w:val="0"/>
        <w:adjustRightInd w:val="0"/>
        <w:jc w:val="both"/>
      </w:pPr>
    </w:p>
    <w:p w:rsidR="0035375D" w:rsidRPr="0035375D" w:rsidRDefault="00C05B9E" w:rsidP="0035375D">
      <w:pPr>
        <w:autoSpaceDE w:val="0"/>
        <w:autoSpaceDN w:val="0"/>
        <w:adjustRightInd w:val="0"/>
        <w:jc w:val="both"/>
      </w:pPr>
      <w:r>
        <w:rPr>
          <w:noProof/>
        </w:rPr>
        <w:drawing>
          <wp:anchor distT="0" distB="0" distL="114300" distR="114300" simplePos="0" relativeHeight="251660288" behindDoc="1" locked="0" layoutInCell="0" allowOverlap="1">
            <wp:simplePos x="0" y="0"/>
            <wp:positionH relativeFrom="page">
              <wp:posOffset>561340</wp:posOffset>
            </wp:positionH>
            <wp:positionV relativeFrom="page">
              <wp:posOffset>7820025</wp:posOffset>
            </wp:positionV>
            <wp:extent cx="1186180" cy="1295400"/>
            <wp:effectExtent l="1905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clrChange>
                        <a:clrFrom>
                          <a:srgbClr val="FFFFFF"/>
                        </a:clrFrom>
                        <a:clrTo>
                          <a:srgbClr val="FFFFFF">
                            <a:alpha val="0"/>
                          </a:srgbClr>
                        </a:clrTo>
                      </a:clrChange>
                    </a:blip>
                    <a:srcRect/>
                    <a:stretch>
                      <a:fillRect/>
                    </a:stretch>
                  </pic:blipFill>
                  <pic:spPr bwMode="auto">
                    <a:xfrm>
                      <a:off x="0" y="0"/>
                      <a:ext cx="1186180" cy="1295400"/>
                    </a:xfrm>
                    <a:prstGeom prst="rect">
                      <a:avLst/>
                    </a:prstGeom>
                    <a:noFill/>
                  </pic:spPr>
                </pic:pic>
              </a:graphicData>
            </a:graphic>
          </wp:anchor>
        </w:drawing>
      </w:r>
      <w:r w:rsidR="0035375D" w:rsidRPr="0035375D">
        <w:t xml:space="preserve">Dr. </w:t>
      </w:r>
      <w:proofErr w:type="spellStart"/>
      <w:r w:rsidR="0035375D" w:rsidRPr="0035375D">
        <w:t>Raghunandan</w:t>
      </w:r>
      <w:proofErr w:type="spellEnd"/>
      <w:r w:rsidR="0035375D" w:rsidRPr="0035375D">
        <w:t xml:space="preserve"> </w:t>
      </w:r>
      <w:proofErr w:type="spellStart"/>
      <w:r w:rsidR="0035375D" w:rsidRPr="0035375D">
        <w:t>Deshpande</w:t>
      </w:r>
      <w:proofErr w:type="spellEnd"/>
      <w:r w:rsidR="0035375D" w:rsidRPr="0035375D">
        <w:t xml:space="preserve"> received his PhD at Jawaharlal Nehru Technical University, Hyderabad (JNTU), India, in Pharmaceutical Sciences. He is working as Associate Professor and Head of the Department in Pharmaceutical Chemistry, HKES’s </w:t>
      </w:r>
      <w:proofErr w:type="spellStart"/>
      <w:r w:rsidR="0035375D" w:rsidRPr="0035375D">
        <w:t>Matoshree</w:t>
      </w:r>
      <w:proofErr w:type="spellEnd"/>
      <w:r w:rsidR="0035375D" w:rsidRPr="0035375D">
        <w:t xml:space="preserve"> </w:t>
      </w:r>
      <w:proofErr w:type="spellStart"/>
      <w:r w:rsidR="0035375D" w:rsidRPr="0035375D">
        <w:t>Taradevi</w:t>
      </w:r>
      <w:proofErr w:type="spellEnd"/>
      <w:r w:rsidR="0035375D" w:rsidRPr="0035375D">
        <w:t xml:space="preserve"> </w:t>
      </w:r>
      <w:proofErr w:type="spellStart"/>
      <w:r w:rsidR="0035375D" w:rsidRPr="0035375D">
        <w:t>Rampure</w:t>
      </w:r>
      <w:proofErr w:type="spellEnd"/>
      <w:r w:rsidR="0035375D" w:rsidRPr="0035375D">
        <w:t xml:space="preserve"> Institute of Pharmaceutical Sciences working since 8 years. He worked as Principle </w:t>
      </w:r>
      <w:r w:rsidRPr="0035375D">
        <w:t>collaborator in</w:t>
      </w:r>
      <w:r w:rsidR="0035375D" w:rsidRPr="0035375D">
        <w:t xml:space="preserve"> the project sponsored by the Board of Research in Nuclear Sciences BRNS, (Department of Atomic E</w:t>
      </w:r>
      <w:r>
        <w:t>nergy</w:t>
      </w:r>
      <w:r w:rsidR="0035375D" w:rsidRPr="0035375D">
        <w:t xml:space="preserve"> </w:t>
      </w:r>
      <w:r w:rsidRPr="0035375D">
        <w:t>DAE</w:t>
      </w:r>
      <w:r w:rsidR="0035375D" w:rsidRPr="0035375D">
        <w:t xml:space="preserve">). He has been associated with various projects awarded by </w:t>
      </w:r>
      <w:r>
        <w:t xml:space="preserve">SERB-NPDF mentor, RGUHS advance grant, </w:t>
      </w:r>
      <w:r w:rsidR="0035375D" w:rsidRPr="0035375D">
        <w:t xml:space="preserve">UGC, AICTE, BRNS DAE and VGST. He has more than 33 publications and applied 3 patents in Nanobiotechnology. He has awarded Karnataka state young scientist from </w:t>
      </w:r>
      <w:proofErr w:type="spellStart"/>
      <w:r w:rsidR="0035375D" w:rsidRPr="0035375D">
        <w:t>Bharata</w:t>
      </w:r>
      <w:proofErr w:type="spellEnd"/>
      <w:r w:rsidR="0035375D" w:rsidRPr="0035375D">
        <w:t xml:space="preserve"> </w:t>
      </w:r>
      <w:proofErr w:type="spellStart"/>
      <w:r w:rsidR="0035375D" w:rsidRPr="0035375D">
        <w:t>Ratna</w:t>
      </w:r>
      <w:proofErr w:type="spellEnd"/>
      <w:r w:rsidR="0035375D" w:rsidRPr="0035375D">
        <w:t xml:space="preserve"> CNR </w:t>
      </w:r>
      <w:proofErr w:type="spellStart"/>
      <w:r w:rsidR="0035375D" w:rsidRPr="0035375D">
        <w:t>Rao</w:t>
      </w:r>
      <w:proofErr w:type="spellEnd"/>
      <w:r w:rsidR="0035375D" w:rsidRPr="0035375D">
        <w:t xml:space="preserve"> in the year 2012.</w:t>
      </w:r>
    </w:p>
    <w:p w:rsidR="007D1357" w:rsidRPr="0035375D" w:rsidRDefault="007D1357">
      <w:pPr>
        <w:spacing w:line="60" w:lineRule="exact"/>
        <w:rPr>
          <w:sz w:val="24"/>
          <w:szCs w:val="24"/>
        </w:rPr>
      </w:pPr>
    </w:p>
    <w:p w:rsidR="007D1357" w:rsidRPr="0035375D" w:rsidRDefault="00FC4132">
      <w:pPr>
        <w:ind w:right="40"/>
        <w:jc w:val="center"/>
        <w:rPr>
          <w:rFonts w:eastAsia="Arial"/>
          <w:sz w:val="24"/>
          <w:szCs w:val="24"/>
        </w:rPr>
      </w:pPr>
      <w:r w:rsidRPr="0035375D">
        <w:rPr>
          <w:rFonts w:eastAsia="Arial"/>
          <w:sz w:val="24"/>
          <w:szCs w:val="24"/>
        </w:rPr>
        <w:t xml:space="preserve">Email: </w:t>
      </w:r>
      <w:hyperlink r:id="rId7" w:history="1">
        <w:r w:rsidR="0035375D" w:rsidRPr="0035375D">
          <w:rPr>
            <w:rStyle w:val="Hyperlink"/>
            <w:rFonts w:eastAsia="Arial"/>
            <w:sz w:val="24"/>
            <w:szCs w:val="24"/>
          </w:rPr>
          <w:t>micr</w:t>
        </w:r>
        <w:r w:rsidR="0035375D" w:rsidRPr="0035375D">
          <w:rPr>
            <w:rStyle w:val="Hyperlink"/>
            <w:sz w:val="24"/>
            <w:szCs w:val="24"/>
          </w:rPr>
          <w:t>oraghu@yahoo.co.in</w:t>
        </w:r>
      </w:hyperlink>
      <w:r w:rsidR="0035375D" w:rsidRPr="0035375D">
        <w:rPr>
          <w:sz w:val="24"/>
          <w:szCs w:val="24"/>
        </w:rPr>
        <w:t xml:space="preserve"> </w:t>
      </w:r>
    </w:p>
    <w:p w:rsidR="007D1357" w:rsidRDefault="00C72DCC" w:rsidP="0035375D">
      <w:pPr>
        <w:spacing w:line="20" w:lineRule="exact"/>
        <w:rPr>
          <w:sz w:val="24"/>
          <w:szCs w:val="24"/>
        </w:rPr>
      </w:pPr>
      <w:r>
        <w:rPr>
          <w:sz w:val="24"/>
          <w:szCs w:val="24"/>
        </w:rPr>
        <w:pict>
          <v:line id="Shape 3" o:spid="_x0000_s1028" style="position:absolute;z-index:251659264;visibility:visible;mso-wrap-distance-left:0;mso-wrap-distance-right:0" from="131.1pt,13.4pt" to="402.15pt,13.4pt" o:allowincell="f" strokecolor="#004080" strokeweight=".5pt"/>
        </w:pict>
      </w:r>
    </w:p>
    <w:p w:rsidR="007D1357" w:rsidRDefault="007D1357">
      <w:pPr>
        <w:spacing w:line="200" w:lineRule="exact"/>
        <w:rPr>
          <w:sz w:val="24"/>
          <w:szCs w:val="24"/>
        </w:rPr>
      </w:pPr>
    </w:p>
    <w:p w:rsidR="007D1357" w:rsidRDefault="007D1357">
      <w:pPr>
        <w:spacing w:line="200" w:lineRule="exact"/>
        <w:rPr>
          <w:sz w:val="24"/>
          <w:szCs w:val="24"/>
        </w:rPr>
      </w:pPr>
    </w:p>
    <w:p w:rsidR="007D1357" w:rsidRDefault="007D1357">
      <w:pPr>
        <w:spacing w:line="200" w:lineRule="exact"/>
        <w:rPr>
          <w:sz w:val="24"/>
          <w:szCs w:val="24"/>
        </w:rPr>
      </w:pPr>
    </w:p>
    <w:p w:rsidR="007D1357" w:rsidRDefault="007D1357">
      <w:pPr>
        <w:spacing w:line="200" w:lineRule="exact"/>
        <w:rPr>
          <w:sz w:val="24"/>
          <w:szCs w:val="24"/>
        </w:rPr>
      </w:pPr>
    </w:p>
    <w:p w:rsidR="007D1357" w:rsidRDefault="007D1357">
      <w:pPr>
        <w:spacing w:line="200" w:lineRule="exact"/>
        <w:rPr>
          <w:sz w:val="24"/>
          <w:szCs w:val="24"/>
        </w:rPr>
      </w:pPr>
    </w:p>
    <w:p w:rsidR="007D1357" w:rsidRDefault="007D1357">
      <w:pPr>
        <w:spacing w:line="200" w:lineRule="exact"/>
        <w:rPr>
          <w:sz w:val="24"/>
          <w:szCs w:val="24"/>
        </w:rPr>
      </w:pPr>
    </w:p>
    <w:p w:rsidR="007D1357" w:rsidRDefault="007D1357">
      <w:pPr>
        <w:spacing w:line="200" w:lineRule="exact"/>
        <w:rPr>
          <w:sz w:val="24"/>
          <w:szCs w:val="24"/>
        </w:rPr>
      </w:pPr>
    </w:p>
    <w:p w:rsidR="007D1357" w:rsidRPr="0035375D" w:rsidRDefault="00FC4132" w:rsidP="0035375D">
      <w:pPr>
        <w:ind w:right="20"/>
        <w:rPr>
          <w:sz w:val="20"/>
          <w:szCs w:val="20"/>
        </w:rPr>
        <w:sectPr w:rsidR="007D1357" w:rsidRPr="0035375D">
          <w:pgSz w:w="11920" w:h="16841"/>
          <w:pgMar w:top="1440" w:right="591" w:bottom="0" w:left="620" w:header="0" w:footer="0" w:gutter="0"/>
          <w:cols w:space="720" w:equalWidth="0">
            <w:col w:w="10700"/>
          </w:cols>
        </w:sectPr>
      </w:pPr>
      <w:r>
        <w:rPr>
          <w:noProof/>
          <w:sz w:val="24"/>
          <w:szCs w:val="24"/>
        </w:rPr>
        <w:drawing>
          <wp:anchor distT="0" distB="0" distL="114300" distR="114300" simplePos="0" relativeHeight="251657216" behindDoc="1" locked="0" layoutInCell="0" allowOverlap="1">
            <wp:simplePos x="0" y="0"/>
            <wp:positionH relativeFrom="column">
              <wp:posOffset>2807970</wp:posOffset>
            </wp:positionH>
            <wp:positionV relativeFrom="paragraph">
              <wp:posOffset>-154305</wp:posOffset>
            </wp:positionV>
            <wp:extent cx="1167130" cy="31686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extLst>
                    </a:blip>
                    <a:srcRect/>
                    <a:stretch>
                      <a:fillRect/>
                    </a:stretch>
                  </pic:blipFill>
                  <pic:spPr bwMode="auto">
                    <a:xfrm>
                      <a:off x="0" y="0"/>
                      <a:ext cx="1167130" cy="316865"/>
                    </a:xfrm>
                    <a:prstGeom prst="rect">
                      <a:avLst/>
                    </a:prstGeom>
                    <a:noFill/>
                  </pic:spPr>
                </pic:pic>
              </a:graphicData>
            </a:graphic>
          </wp:anchor>
        </w:drawing>
      </w:r>
    </w:p>
    <w:p w:rsidR="007D1357" w:rsidRDefault="007D1357" w:rsidP="0035375D">
      <w:pPr>
        <w:ind w:right="20"/>
        <w:rPr>
          <w:sz w:val="20"/>
          <w:szCs w:val="20"/>
        </w:rPr>
      </w:pPr>
    </w:p>
    <w:sectPr w:rsidR="007D1357" w:rsidSect="007D1357">
      <w:type w:val="continuous"/>
      <w:pgSz w:w="11920" w:h="16841"/>
      <w:pgMar w:top="1440" w:right="591" w:bottom="0" w:left="620" w:header="0" w:footer="0" w:gutter="0"/>
      <w:cols w:space="720" w:equalWidth="0">
        <w:col w:w="10700"/>
      </w:cols>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7B23C6"/>
    <w:multiLevelType w:val="hybridMultilevel"/>
    <w:tmpl w:val="9B7EB364"/>
    <w:lvl w:ilvl="0" w:tplc="8E7CBB62">
      <w:start w:val="1"/>
      <w:numFmt w:val="decimal"/>
      <w:lvlText w:val="%1."/>
      <w:lvlJc w:val="left"/>
    </w:lvl>
    <w:lvl w:ilvl="1" w:tplc="54F6EC5C">
      <w:numFmt w:val="decimal"/>
      <w:lvlText w:val=""/>
      <w:lvlJc w:val="left"/>
    </w:lvl>
    <w:lvl w:ilvl="2" w:tplc="44B0A8F2">
      <w:numFmt w:val="decimal"/>
      <w:lvlText w:val=""/>
      <w:lvlJc w:val="left"/>
    </w:lvl>
    <w:lvl w:ilvl="3" w:tplc="B60EBDD0">
      <w:numFmt w:val="decimal"/>
      <w:lvlText w:val=""/>
      <w:lvlJc w:val="left"/>
    </w:lvl>
    <w:lvl w:ilvl="4" w:tplc="830C0390">
      <w:numFmt w:val="decimal"/>
      <w:lvlText w:val=""/>
      <w:lvlJc w:val="left"/>
    </w:lvl>
    <w:lvl w:ilvl="5" w:tplc="1A1E7AFE">
      <w:numFmt w:val="decimal"/>
      <w:lvlText w:val=""/>
      <w:lvlJc w:val="left"/>
    </w:lvl>
    <w:lvl w:ilvl="6" w:tplc="C4706F12">
      <w:numFmt w:val="decimal"/>
      <w:lvlText w:val=""/>
      <w:lvlJc w:val="left"/>
    </w:lvl>
    <w:lvl w:ilvl="7" w:tplc="77C2D864">
      <w:numFmt w:val="decimal"/>
      <w:lvlText w:val=""/>
      <w:lvlJc w:val="left"/>
    </w:lvl>
    <w:lvl w:ilvl="8" w:tplc="F1140E94">
      <w:numFmt w:val="decimal"/>
      <w:lvlText w:val=""/>
      <w:lvlJc w:val="left"/>
    </w:lvl>
  </w:abstractNum>
  <w:abstractNum w:abstractNumId="1">
    <w:nsid w:val="589D4481"/>
    <w:multiLevelType w:val="hybridMultilevel"/>
    <w:tmpl w:val="430EFD8A"/>
    <w:lvl w:ilvl="0" w:tplc="BBB20BC8">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7D1357"/>
    <w:rsid w:val="00153DF7"/>
    <w:rsid w:val="00316FB6"/>
    <w:rsid w:val="0035375D"/>
    <w:rsid w:val="007D1357"/>
    <w:rsid w:val="00AC52F6"/>
    <w:rsid w:val="00C05B9E"/>
    <w:rsid w:val="00C72DCC"/>
    <w:rsid w:val="00FC4132"/>
    <w:rsid w:val="00FF5E6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EastAsia"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135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ublication-meta-date">
    <w:name w:val="publication-meta-date"/>
    <w:rsid w:val="00AC52F6"/>
  </w:style>
  <w:style w:type="character" w:customStyle="1" w:styleId="publication-meta-separator">
    <w:name w:val="publication-meta-separator"/>
    <w:rsid w:val="00AC52F6"/>
  </w:style>
  <w:style w:type="character" w:customStyle="1" w:styleId="publication-meta-journal">
    <w:name w:val="publication-meta-journal"/>
    <w:rsid w:val="00AC52F6"/>
  </w:style>
  <w:style w:type="character" w:styleId="Hyperlink">
    <w:name w:val="Hyperlink"/>
    <w:uiPriority w:val="99"/>
    <w:unhideWhenUsed/>
    <w:rsid w:val="00AC52F6"/>
    <w:rPr>
      <w:color w:val="0000FF"/>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yperlink" Target="mailto:microraghu@yahoo.co.i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www.researchgate.net/journal/1319-562X_Saudi_Journal_of_Biological_Sciences"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642</Words>
  <Characters>3666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2</cp:revision>
  <dcterms:created xsi:type="dcterms:W3CDTF">2022-05-02T11:59:00Z</dcterms:created>
  <dcterms:modified xsi:type="dcterms:W3CDTF">2022-05-02T11:59:00Z</dcterms:modified>
</cp:coreProperties>
</file>