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DE295" w14:textId="33D05A0D" w:rsidR="00AD17CC" w:rsidRDefault="00AD17CC" w:rsidP="00AD17CC">
      <w:pPr>
        <w:rPr>
          <w:b/>
          <w:bCs/>
          <w:sz w:val="28"/>
          <w:szCs w:val="28"/>
        </w:rPr>
      </w:pPr>
      <w:r w:rsidRPr="00AD17CC">
        <w:rPr>
          <w:b/>
          <w:bCs/>
          <w:sz w:val="28"/>
          <w:szCs w:val="28"/>
        </w:rPr>
        <w:t>Abstract</w:t>
      </w:r>
    </w:p>
    <w:p w14:paraId="5B1B75F2" w14:textId="77777777" w:rsidR="00AD17CC" w:rsidRPr="00AD17CC" w:rsidRDefault="00AD17CC" w:rsidP="00AD17CC">
      <w:pPr>
        <w:rPr>
          <w:b/>
          <w:bCs/>
          <w:sz w:val="28"/>
          <w:szCs w:val="28"/>
        </w:rPr>
      </w:pPr>
    </w:p>
    <w:p w14:paraId="242A1F82" w14:textId="47889ADB" w:rsidR="00AD17CC" w:rsidRDefault="00AD17CC" w:rsidP="00AD17CC">
      <w:r>
        <w:t>Submitted by Hasan Hamad Jaber Alfahemi for the Degree of Doctor of Philosophy in The University of Manchester and entitled ‘KdsB Kinetics Measurements and Effect of kdsB Mutation on biosynthesis of Lipopolysaccharide and K1 capsule of Escherichia coli ’ in March, 2020.</w:t>
      </w:r>
    </w:p>
    <w:p w14:paraId="5EA9AA82" w14:textId="77777777" w:rsidR="00AD17CC" w:rsidRDefault="00AD17CC" w:rsidP="00AD17CC"/>
    <w:p w14:paraId="7F078C99" w14:textId="77777777" w:rsidR="00AD17CC" w:rsidRDefault="00AD17CC" w:rsidP="00AD17CC">
      <w:pPr>
        <w:spacing w:line="360" w:lineRule="auto"/>
        <w:jc w:val="both"/>
      </w:pPr>
      <w:r>
        <w:t>The minimum prerequisite for a viable lipopolysaccharide (LPS) structure in all Gram-negative bacteria is a lipid A molecule which has been inserted into the outer membrane and substituted with two residues of Kdo. The substitution of lipid A with Kdo entails, initially, the activation of Kdo by its addition to CTP, forming CMP-Kdo. The formation of CMP-Kdo is catalysed by the transferase enzyme CMP-Kdo synthetase, KdsB. Mutations in kdsB are lethal with a lack of Lipid A in the outer membrane, so it represents a potential target for new antimicrobials. Ongoing resistance of Gram-negative bacteria to current antibiotics require the generation of new antimicrobials against novel targets. The first step to design a potentially new Gram-negative antimicrobial was the purification and kinetics evaluation of KdsB. KdsB purification was performed initially using HisTrap HP His-tag protein purification columns followed by AKTA purifier performing size exclusion chromatography. The KdsB molecular weight and concentration was determined using multi angels light scattering (MALS) to be 60.4 kDa as a dimer and 2.5 mg/ml. The kinetic properties of the purified KdsB were quantified spectrophotometrically using the linked pyrophosphate assay. Vmax of the reaction was 2.0   0.1 μMmin-1, the Km of Kdo was calculated to be 100   0.3 μM, and the Km of CTP was quantified to be 5   0.1 μM.</w:t>
      </w:r>
    </w:p>
    <w:p w14:paraId="1FF9D193" w14:textId="5742AC14" w:rsidR="00AD17CC" w:rsidRPr="00AD17CC" w:rsidRDefault="00AD17CC" w:rsidP="00AD17CC">
      <w:pPr>
        <w:spacing w:line="360" w:lineRule="auto"/>
        <w:jc w:val="both"/>
        <w:rPr>
          <w:lang w:val="en-GB"/>
        </w:rPr>
      </w:pPr>
      <w:r>
        <w:t>The kpsU gene encodes CMP-Kdo synthetase within group 2 capsule gene clusters such that E. coli strains expressing group 2 capsules have two functional CMP-Kdo synthetase enzymes. Therefore, it should be possible to generate a non-lethal kdsB mutant in such strains at a capsule permissive temperature such as 37◦C to use it as a screen to identify repressors of capsule transcription at capsule nonpermissive temperature like 20◦C. The first aim to construct a kdsB mutant in strain EV1 was achieved. As predicted the growth at 37◦C for both the wild type and the kdsB mutant was identical with no detectable phenotype including K1 capsule expression.</w:t>
      </w:r>
      <w:r>
        <w:rPr>
          <w:lang w:val="en-GB"/>
        </w:rPr>
        <w:t xml:space="preserve"> </w:t>
      </w:r>
      <w:r w:rsidRPr="00AD17CC">
        <w:rPr>
          <w:lang w:val="en-GB"/>
        </w:rPr>
        <w:t xml:space="preserve">Surprisingly, the kdsB mutant was able to grow at 20◦C indicating that sufficient KpsU was being </w:t>
      </w:r>
      <w:r w:rsidRPr="00AD17CC">
        <w:rPr>
          <w:lang w:val="en-GB"/>
        </w:rPr>
        <w:lastRenderedPageBreak/>
        <w:t>made to complement the kdsB mutation. This indicates that at 20◦C, there is still transcription from the region 1 promoter PR1 that is responsible for kpsU expression. This observation is contrary to the accepted model for group 2 capsule expression where it is predicted that PR1 is transcriptionally silent at 20◦C. To establish if transcription is occurring from PR1 at 20◦C, plasmid pJJ1 in which the PR1 promoter drives transcription of the lacZ gene was used. Although transcription of lacZ, as measured by β-galactosidase activity, was shown to be thermoregulated in strains EV1(pJJ1), EV1ΔkdsB::kan(pJJ1), and UTI89P1lacZ, low level transcription was detected at 20◦C. This confirmed that PR1 is not transcriptionally silent at 20◦C, as previously thought. Purified LPS from strain EV1ΔkdsB::kan strain showed no detectable differences to that of the EV1 wildtype when analysed by SDS-PAGE and silver staining. Strain EV1ΔkdsB::kan was equally susceptible to SDS as compared to the EV1 wildtype strain, although it was more susceptible to Novobiocin indicating some subtle changes in lipopolysaccharide structure. Overall, the KdsB protein is crucial for lipopolysaccharide biosynthesis and represents a potential target for designing novel Gram-negative antimicrobials. However, the detection of low levels of transcription from PR1 at 20◦C means that the kdsB mutation is not useful as a screen to identify repressors of capsule transcription at 20◦C.</w:t>
      </w:r>
    </w:p>
    <w:sectPr w:rsidR="00AD17CC" w:rsidRPr="00AD17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CC"/>
    <w:rsid w:val="00AD17CC"/>
  </w:rsids>
  <m:mathPr>
    <m:mathFont m:val="Cambria Math"/>
    <m:brkBin m:val="before"/>
    <m:brkBinSub m:val="--"/>
    <m:smallFrac m:val="0"/>
    <m:dispDef/>
    <m:lMargin m:val="0"/>
    <m:rMargin m:val="0"/>
    <m:defJc m:val="centerGroup"/>
    <m:wrapIndent m:val="1440"/>
    <m:intLim m:val="subSup"/>
    <m:naryLim m:val="undOvr"/>
  </m:mathPr>
  <w:themeFontLang w:val="en-KW" w:bidi="ar-SA"/>
  <w:clrSchemeMapping w:bg1="light1" w:t1="dark1" w:bg2="light2" w:t2="dark2" w:accent1="accent1" w:accent2="accent2" w:accent3="accent3" w:accent4="accent4" w:accent5="accent5" w:accent6="accent6" w:hyperlink="hyperlink" w:followedHyperlink="followedHyperlink"/>
  <w:decimalSymbol w:val="."/>
  <w:listSeparator w:val=","/>
  <w14:docId w14:val="1CB6DC6A"/>
  <w15:chartTrackingRefBased/>
  <w15:docId w15:val="{1FC522BD-AC6D-0849-BB6E-9E6BACF5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KW"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حسن حمد جابر آل خلف الفاهمي</dc:creator>
  <cp:keywords/>
  <dc:description/>
  <cp:lastModifiedBy>د. حسن حمد جابر آل خلف الفاهمي</cp:lastModifiedBy>
  <cp:revision>1</cp:revision>
  <dcterms:created xsi:type="dcterms:W3CDTF">2022-03-14T01:09:00Z</dcterms:created>
  <dcterms:modified xsi:type="dcterms:W3CDTF">2022-03-14T01:12:00Z</dcterms:modified>
</cp:coreProperties>
</file>