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4084B9" w14:textId="77777777" w:rsidR="00C73D36" w:rsidRPr="0005164C" w:rsidRDefault="00C73D36" w:rsidP="00886A8A">
      <w:pPr>
        <w:pStyle w:val="Author"/>
        <w:jc w:val="both"/>
        <w:rPr>
          <w:rFonts w:eastAsia="MS Mincho"/>
          <w:sz w:val="18"/>
          <w:szCs w:val="18"/>
        </w:rPr>
        <w:sectPr w:rsidR="00C73D36" w:rsidRPr="0005164C" w:rsidSect="006C4648">
          <w:pgSz w:w="11909" w:h="16834" w:code="9"/>
          <w:pgMar w:top="1080" w:right="734" w:bottom="2434" w:left="734" w:header="720" w:footer="720" w:gutter="0"/>
          <w:cols w:space="720"/>
          <w:docGrid w:linePitch="360"/>
        </w:sectPr>
      </w:pPr>
    </w:p>
    <w:p w14:paraId="22C0800B" w14:textId="77777777" w:rsidR="00C73D36" w:rsidRPr="00C73D36" w:rsidRDefault="00C73D36" w:rsidP="00C73D36">
      <w:pPr>
        <w:jc w:val="both"/>
        <w:rPr>
          <w:rFonts w:eastAsia="MS PGothic"/>
          <w:b/>
          <w:bCs/>
          <w:color w:val="000000"/>
          <w:sz w:val="22"/>
          <w:szCs w:val="22"/>
        </w:rPr>
      </w:pPr>
      <w:r w:rsidRPr="009D49B8">
        <w:rPr>
          <w:rFonts w:eastAsia="MS PGothic"/>
          <w:b/>
          <w:color w:val="000000"/>
          <w:sz w:val="22"/>
          <w:szCs w:val="22"/>
        </w:rPr>
        <w:t xml:space="preserve">Title: </w:t>
      </w:r>
      <w:r w:rsidRPr="00C73D36">
        <w:rPr>
          <w:rFonts w:eastAsia="MS PGothic"/>
          <w:b/>
          <w:bCs/>
          <w:color w:val="000000"/>
          <w:sz w:val="22"/>
          <w:szCs w:val="22"/>
        </w:rPr>
        <w:t xml:space="preserve">Sewage Surveillance: a Potential Tool to Reveal Antibiotic Resistance in the Community </w:t>
      </w:r>
    </w:p>
    <w:p w14:paraId="6030A1DE" w14:textId="4DFCF2F2" w:rsidR="00C73D36" w:rsidRPr="009D49B8" w:rsidRDefault="00C73D36" w:rsidP="00C73D36">
      <w:pPr>
        <w:jc w:val="both"/>
        <w:rPr>
          <w:rFonts w:eastAsia="MS PGothic"/>
          <w:b/>
          <w:color w:val="000000"/>
          <w:sz w:val="22"/>
          <w:szCs w:val="22"/>
        </w:rPr>
      </w:pPr>
    </w:p>
    <w:p w14:paraId="44BEBABC" w14:textId="77777777" w:rsidR="00C73D36" w:rsidRPr="009D49B8" w:rsidRDefault="00C73D36" w:rsidP="00C73D36">
      <w:pPr>
        <w:jc w:val="both"/>
        <w:rPr>
          <w:rFonts w:eastAsia="MS PGothic"/>
          <w:color w:val="000000"/>
          <w:sz w:val="22"/>
          <w:szCs w:val="22"/>
        </w:rPr>
      </w:pPr>
    </w:p>
    <w:p w14:paraId="10602165" w14:textId="0C06C50D" w:rsidR="00C73D36" w:rsidRDefault="00C73D36" w:rsidP="00C73D36">
      <w:pPr>
        <w:shd w:val="clear" w:color="auto" w:fill="FFFFFF"/>
        <w:jc w:val="both"/>
        <w:rPr>
          <w:b/>
          <w:bCs/>
          <w:sz w:val="19"/>
          <w:szCs w:val="19"/>
          <w:lang w:eastAsia="en-IN"/>
        </w:rPr>
      </w:pPr>
      <w:r w:rsidRPr="00C73D36">
        <w:rPr>
          <w:b/>
          <w:bCs/>
          <w:sz w:val="19"/>
          <w:szCs w:val="19"/>
          <w:u w:val="single"/>
          <w:lang w:eastAsia="en-IN"/>
        </w:rPr>
        <w:t>K M Zillur Rahman</w:t>
      </w:r>
      <w:r w:rsidRPr="00C73D36">
        <w:rPr>
          <w:b/>
          <w:bCs/>
          <w:sz w:val="19"/>
          <w:szCs w:val="19"/>
          <w:u w:val="single"/>
          <w:vertAlign w:val="superscript"/>
          <w:lang w:eastAsia="en-IN"/>
        </w:rPr>
        <w:t>1</w:t>
      </w:r>
      <w:r w:rsidRPr="00C73D36">
        <w:rPr>
          <w:b/>
          <w:bCs/>
          <w:sz w:val="19"/>
          <w:szCs w:val="19"/>
          <w:vertAlign w:val="superscript"/>
          <w:lang w:eastAsia="en-IN"/>
        </w:rPr>
        <w:t>,2</w:t>
      </w:r>
      <w:r w:rsidRPr="00C73D36">
        <w:rPr>
          <w:b/>
          <w:bCs/>
          <w:sz w:val="19"/>
          <w:szCs w:val="19"/>
          <w:lang w:eastAsia="en-IN"/>
        </w:rPr>
        <w:t xml:space="preserve">, </w:t>
      </w:r>
      <w:proofErr w:type="spellStart"/>
      <w:r w:rsidRPr="00C73D36">
        <w:rPr>
          <w:b/>
          <w:bCs/>
          <w:sz w:val="19"/>
          <w:szCs w:val="19"/>
          <w:lang w:eastAsia="en-IN"/>
        </w:rPr>
        <w:t>Weijia</w:t>
      </w:r>
      <w:proofErr w:type="spellEnd"/>
      <w:r w:rsidRPr="00C73D36">
        <w:rPr>
          <w:b/>
          <w:bCs/>
          <w:sz w:val="19"/>
          <w:szCs w:val="19"/>
          <w:lang w:eastAsia="en-IN"/>
        </w:rPr>
        <w:t xml:space="preserve"> Liu</w:t>
      </w:r>
      <w:r w:rsidRPr="00C73D36">
        <w:rPr>
          <w:b/>
          <w:bCs/>
          <w:sz w:val="19"/>
          <w:szCs w:val="19"/>
          <w:vertAlign w:val="superscript"/>
          <w:lang w:eastAsia="en-IN"/>
        </w:rPr>
        <w:t>2</w:t>
      </w:r>
      <w:r w:rsidRPr="00C73D36">
        <w:rPr>
          <w:b/>
          <w:bCs/>
          <w:sz w:val="19"/>
          <w:szCs w:val="19"/>
          <w:lang w:eastAsia="en-IN"/>
        </w:rPr>
        <w:t>, Ori Gudes</w:t>
      </w:r>
      <w:r w:rsidRPr="00C73D36">
        <w:rPr>
          <w:b/>
          <w:bCs/>
          <w:sz w:val="19"/>
          <w:szCs w:val="19"/>
          <w:vertAlign w:val="superscript"/>
          <w:lang w:eastAsia="en-IN"/>
        </w:rPr>
        <w:t>3</w:t>
      </w:r>
      <w:r w:rsidRPr="00C73D36">
        <w:rPr>
          <w:b/>
          <w:bCs/>
          <w:sz w:val="19"/>
          <w:szCs w:val="19"/>
          <w:lang w:eastAsia="en-IN"/>
        </w:rPr>
        <w:t>,</w:t>
      </w:r>
      <w:r w:rsidRPr="00C73D36">
        <w:rPr>
          <w:b/>
          <w:bCs/>
          <w:sz w:val="19"/>
          <w:szCs w:val="19"/>
          <w:vertAlign w:val="superscript"/>
          <w:lang w:eastAsia="en-IN"/>
        </w:rPr>
        <w:t xml:space="preserve"> </w:t>
      </w:r>
      <w:r w:rsidRPr="00C73D36">
        <w:rPr>
          <w:b/>
          <w:bCs/>
          <w:sz w:val="19"/>
          <w:szCs w:val="19"/>
          <w:lang w:eastAsia="en-IN"/>
        </w:rPr>
        <w:t>Zia Flook</w:t>
      </w:r>
      <w:r w:rsidRPr="00C73D36">
        <w:rPr>
          <w:b/>
          <w:bCs/>
          <w:sz w:val="19"/>
          <w:szCs w:val="19"/>
          <w:vertAlign w:val="superscript"/>
          <w:lang w:eastAsia="en-IN"/>
        </w:rPr>
        <w:t>2</w:t>
      </w:r>
      <w:r w:rsidRPr="00C73D36">
        <w:rPr>
          <w:b/>
          <w:bCs/>
          <w:sz w:val="19"/>
          <w:szCs w:val="19"/>
          <w:lang w:eastAsia="en-IN"/>
        </w:rPr>
        <w:t>, Lara Stapleton</w:t>
      </w:r>
      <w:r w:rsidRPr="00C73D36">
        <w:rPr>
          <w:b/>
          <w:bCs/>
          <w:sz w:val="19"/>
          <w:szCs w:val="19"/>
          <w:vertAlign w:val="superscript"/>
          <w:lang w:eastAsia="en-IN"/>
        </w:rPr>
        <w:t>2</w:t>
      </w:r>
      <w:r w:rsidRPr="00C73D36">
        <w:rPr>
          <w:b/>
          <w:bCs/>
          <w:sz w:val="19"/>
          <w:szCs w:val="19"/>
          <w:lang w:eastAsia="en-IN"/>
        </w:rPr>
        <w:t>, Stuart Khan</w:t>
      </w:r>
      <w:r w:rsidRPr="00C73D36">
        <w:rPr>
          <w:b/>
          <w:bCs/>
          <w:sz w:val="19"/>
          <w:szCs w:val="19"/>
          <w:vertAlign w:val="superscript"/>
          <w:lang w:eastAsia="en-IN"/>
        </w:rPr>
        <w:t>4</w:t>
      </w:r>
      <w:r w:rsidRPr="00C73D36">
        <w:rPr>
          <w:b/>
          <w:bCs/>
          <w:sz w:val="19"/>
          <w:szCs w:val="19"/>
          <w:lang w:eastAsia="en-IN"/>
        </w:rPr>
        <w:t xml:space="preserve">, </w:t>
      </w:r>
      <w:proofErr w:type="spellStart"/>
      <w:r w:rsidRPr="00C73D36">
        <w:rPr>
          <w:b/>
          <w:bCs/>
          <w:sz w:val="19"/>
          <w:szCs w:val="19"/>
          <w:lang w:eastAsia="en-IN"/>
        </w:rPr>
        <w:t>Torsten</w:t>
      </w:r>
      <w:proofErr w:type="spellEnd"/>
      <w:r w:rsidRPr="00C73D36">
        <w:rPr>
          <w:b/>
          <w:bCs/>
          <w:sz w:val="19"/>
          <w:szCs w:val="19"/>
          <w:lang w:eastAsia="en-IN"/>
        </w:rPr>
        <w:t xml:space="preserve"> Thomas</w:t>
      </w:r>
      <w:r w:rsidRPr="00C73D36">
        <w:rPr>
          <w:b/>
          <w:bCs/>
          <w:sz w:val="19"/>
          <w:szCs w:val="19"/>
          <w:vertAlign w:val="superscript"/>
          <w:lang w:eastAsia="en-IN"/>
        </w:rPr>
        <w:t>1</w:t>
      </w:r>
      <w:r w:rsidRPr="00C73D36">
        <w:rPr>
          <w:b/>
          <w:bCs/>
          <w:sz w:val="19"/>
          <w:szCs w:val="19"/>
          <w:lang w:eastAsia="en-IN"/>
        </w:rPr>
        <w:t xml:space="preserve"> and Marylouise McLaws</w:t>
      </w:r>
      <w:r w:rsidRPr="00C73D36">
        <w:rPr>
          <w:b/>
          <w:bCs/>
          <w:sz w:val="19"/>
          <w:szCs w:val="19"/>
          <w:vertAlign w:val="superscript"/>
          <w:lang w:eastAsia="en-IN"/>
        </w:rPr>
        <w:t>2</w:t>
      </w:r>
      <w:r w:rsidRPr="00C73D36">
        <w:rPr>
          <w:b/>
          <w:bCs/>
          <w:sz w:val="19"/>
          <w:szCs w:val="19"/>
          <w:lang w:eastAsia="en-IN"/>
        </w:rPr>
        <w:t xml:space="preserve"> </w:t>
      </w:r>
    </w:p>
    <w:p w14:paraId="7AC23925" w14:textId="77777777" w:rsidR="00C73D36" w:rsidRPr="00C73D36" w:rsidRDefault="00C73D36" w:rsidP="00C73D36">
      <w:pPr>
        <w:shd w:val="clear" w:color="auto" w:fill="FFFFFF"/>
        <w:jc w:val="both"/>
        <w:rPr>
          <w:b/>
          <w:bCs/>
          <w:sz w:val="19"/>
          <w:szCs w:val="19"/>
          <w:lang w:eastAsia="en-IN"/>
        </w:rPr>
      </w:pPr>
    </w:p>
    <w:p w14:paraId="7582F290" w14:textId="425E1394" w:rsidR="00C73D36" w:rsidRPr="00C73D36" w:rsidRDefault="00C73D36" w:rsidP="00C73D36">
      <w:pPr>
        <w:jc w:val="left"/>
        <w:rPr>
          <w:sz w:val="19"/>
          <w:szCs w:val="19"/>
          <w:vertAlign w:val="superscript"/>
          <w:lang w:eastAsia="en-IN"/>
        </w:rPr>
      </w:pPr>
      <w:r w:rsidRPr="00C73D36">
        <w:rPr>
          <w:sz w:val="19"/>
          <w:szCs w:val="19"/>
          <w:vertAlign w:val="superscript"/>
          <w:lang w:eastAsia="en-IN"/>
        </w:rPr>
        <w:t xml:space="preserve">1 </w:t>
      </w:r>
      <w:r w:rsidRPr="00C73D36">
        <w:rPr>
          <w:sz w:val="19"/>
          <w:szCs w:val="19"/>
          <w:lang w:eastAsia="en-IN"/>
        </w:rPr>
        <w:t>Centre for Marine Science and Innovation, School of Biological, Earth and Environmental Sciences, University of New South Wales, Sydney, NSW, 2052, Australia</w:t>
      </w:r>
      <w:r w:rsidRPr="00C73D36">
        <w:rPr>
          <w:sz w:val="19"/>
          <w:szCs w:val="19"/>
          <w:lang w:eastAsia="en-IN"/>
        </w:rPr>
        <w:tab/>
      </w:r>
      <w:r w:rsidRPr="00C73D36">
        <w:rPr>
          <w:sz w:val="19"/>
          <w:szCs w:val="19"/>
          <w:vertAlign w:val="superscript"/>
          <w:lang w:eastAsia="en-IN"/>
        </w:rPr>
        <w:tab/>
      </w:r>
    </w:p>
    <w:p w14:paraId="3BA06869" w14:textId="77777777" w:rsidR="00C73D36" w:rsidRPr="00C73D36" w:rsidRDefault="00C73D36" w:rsidP="00C73D36">
      <w:pPr>
        <w:jc w:val="left"/>
        <w:rPr>
          <w:sz w:val="19"/>
          <w:szCs w:val="19"/>
          <w:lang w:val="en-AU" w:eastAsia="en-IN"/>
        </w:rPr>
      </w:pPr>
      <w:r w:rsidRPr="00C73D36">
        <w:rPr>
          <w:sz w:val="19"/>
          <w:szCs w:val="19"/>
          <w:vertAlign w:val="superscript"/>
          <w:lang w:val="en-AU" w:eastAsia="en-IN"/>
        </w:rPr>
        <w:t xml:space="preserve">2 </w:t>
      </w:r>
      <w:r w:rsidRPr="00C73D36">
        <w:rPr>
          <w:sz w:val="19"/>
          <w:szCs w:val="19"/>
          <w:lang w:val="en-AU" w:eastAsia="en-IN"/>
        </w:rPr>
        <w:t>School of Public Health and Community Medicine, University of New South Wales, Sydney, NSW, 2052, Australia</w:t>
      </w:r>
    </w:p>
    <w:p w14:paraId="13D265C7" w14:textId="77777777" w:rsidR="00C73D36" w:rsidRPr="00C73D36" w:rsidRDefault="00C73D36" w:rsidP="00C73D36">
      <w:pPr>
        <w:jc w:val="left"/>
        <w:rPr>
          <w:sz w:val="19"/>
          <w:szCs w:val="19"/>
          <w:vertAlign w:val="superscript"/>
          <w:lang w:val="en-AU" w:eastAsia="en-IN"/>
        </w:rPr>
      </w:pPr>
      <w:r w:rsidRPr="00C73D36">
        <w:rPr>
          <w:sz w:val="19"/>
          <w:szCs w:val="19"/>
          <w:vertAlign w:val="superscript"/>
          <w:lang w:eastAsia="en-IN"/>
        </w:rPr>
        <w:t xml:space="preserve">3 </w:t>
      </w:r>
      <w:r w:rsidRPr="00C73D36">
        <w:rPr>
          <w:sz w:val="19"/>
          <w:szCs w:val="19"/>
          <w:lang w:eastAsia="en-IN"/>
        </w:rPr>
        <w:t>City Futures Research Centre, Built Environment, The University of New South Wales, Sydney, NSW, 2052, Australia</w:t>
      </w:r>
    </w:p>
    <w:p w14:paraId="099750C6" w14:textId="77777777" w:rsidR="00C73D36" w:rsidRPr="00C73D36" w:rsidRDefault="00C73D36" w:rsidP="00C73D36">
      <w:pPr>
        <w:jc w:val="left"/>
        <w:rPr>
          <w:sz w:val="19"/>
          <w:szCs w:val="19"/>
          <w:lang w:eastAsia="en-IN"/>
        </w:rPr>
      </w:pPr>
      <w:r w:rsidRPr="00C73D36">
        <w:rPr>
          <w:sz w:val="19"/>
          <w:szCs w:val="19"/>
          <w:vertAlign w:val="superscript"/>
          <w:lang w:eastAsia="en-IN"/>
        </w:rPr>
        <w:t xml:space="preserve">4 </w:t>
      </w:r>
      <w:r w:rsidRPr="00C73D36">
        <w:rPr>
          <w:sz w:val="19"/>
          <w:szCs w:val="19"/>
          <w:lang w:eastAsia="en-IN"/>
        </w:rPr>
        <w:t>School of Civil and Environmental Engineering, UNSW, Sydney, NSW 2052, Australia</w:t>
      </w:r>
    </w:p>
    <w:p w14:paraId="229F5B9F" w14:textId="77777777" w:rsidR="00C73D36" w:rsidRPr="00351E9B" w:rsidRDefault="00C73D36" w:rsidP="00C73D36">
      <w:pPr>
        <w:rPr>
          <w:rFonts w:eastAsia="MS Mincho"/>
          <w:sz w:val="19"/>
          <w:szCs w:val="19"/>
        </w:rPr>
      </w:pPr>
    </w:p>
    <w:p w14:paraId="568AAFB6" w14:textId="77777777" w:rsidR="00C73D36" w:rsidRPr="0005164C" w:rsidRDefault="00C73D36" w:rsidP="00C73D36">
      <w:pPr>
        <w:rPr>
          <w:rFonts w:eastAsia="MS Mincho"/>
          <w:sz w:val="19"/>
          <w:szCs w:val="19"/>
        </w:rPr>
      </w:pPr>
    </w:p>
    <w:p w14:paraId="2183C7DD" w14:textId="77777777" w:rsidR="00C73D36" w:rsidRDefault="00C73D36" w:rsidP="00C73D36">
      <w:pPr>
        <w:jc w:val="both"/>
        <w:rPr>
          <w:rFonts w:eastAsia="MS Mincho"/>
          <w:sz w:val="19"/>
          <w:szCs w:val="19"/>
        </w:rPr>
      </w:pPr>
    </w:p>
    <w:p w14:paraId="57972E98" w14:textId="77777777" w:rsidR="00C73D36" w:rsidRPr="0005164C" w:rsidRDefault="00C73D36" w:rsidP="00C73D36">
      <w:pPr>
        <w:jc w:val="both"/>
        <w:rPr>
          <w:rFonts w:eastAsia="MS Mincho"/>
          <w:sz w:val="19"/>
          <w:szCs w:val="19"/>
        </w:rPr>
        <w:sectPr w:rsidR="00C73D36" w:rsidRPr="0005164C" w:rsidSect="006C4648">
          <w:type w:val="continuous"/>
          <w:pgSz w:w="11909" w:h="16834" w:code="9"/>
          <w:pgMar w:top="1080" w:right="734" w:bottom="2434" w:left="734" w:header="720" w:footer="720" w:gutter="0"/>
          <w:cols w:space="720"/>
          <w:docGrid w:linePitch="360"/>
        </w:sectPr>
      </w:pPr>
    </w:p>
    <w:p w14:paraId="5DE357BB" w14:textId="0E4ADF5A" w:rsidR="00C73D36" w:rsidRPr="0005164C" w:rsidRDefault="00C73D36" w:rsidP="00C73D36">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 Wastewater treatment plant (WWTP), Surveillance, AMR in the community, ESBL, VRE, MRSA, CPE</w:t>
      </w:r>
    </w:p>
    <w:p w14:paraId="75A98AF4" w14:textId="77777777" w:rsidR="00C73D36" w:rsidRPr="0005164C" w:rsidRDefault="00C73D36" w:rsidP="00C73D36">
      <w:pPr>
        <w:pStyle w:val="keywords"/>
        <w:ind w:firstLine="0"/>
        <w:rPr>
          <w:b w:val="0"/>
          <w:bCs w:val="0"/>
          <w:i w:val="0"/>
          <w:iCs w:val="0"/>
          <w:noProof w:val="0"/>
          <w:sz w:val="19"/>
          <w:szCs w:val="19"/>
          <w:lang w:val="en-IN" w:eastAsia="en-IN"/>
        </w:rPr>
      </w:pPr>
    </w:p>
    <w:p w14:paraId="0444B3AC" w14:textId="77777777" w:rsidR="00C73D36" w:rsidRPr="0005164C" w:rsidRDefault="00C73D36" w:rsidP="00C73D36">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14:paraId="4C02BD01" w14:textId="2BCEE070" w:rsidR="00C73D36" w:rsidRDefault="0076178C" w:rsidP="00C73D36">
      <w:pPr>
        <w:jc w:val="both"/>
        <w:rPr>
          <w:sz w:val="19"/>
          <w:szCs w:val="19"/>
          <w:lang w:val="en-IN" w:eastAsia="en-IN"/>
        </w:rPr>
      </w:pPr>
      <w:r w:rsidRPr="0076178C">
        <w:rPr>
          <w:sz w:val="19"/>
          <w:szCs w:val="19"/>
          <w:lang w:val="en-IN" w:eastAsia="en-IN"/>
        </w:rPr>
        <w:t xml:space="preserve">We aim to use WWTPs samples as a monitoring tool to establish a baseline of AMR in the general community of Sydney, Australia, for the following clinically important pathogens: extended-spectrum beta-lactamases (ESBL) Enterobacteriaceae, carbapenemase-producing Enterobacteriaceae (CPE), vancomycin-resistant enterococci (VRE) and methicillin-resistant Staphylococcus aureus (MRSA). We obtained influent wastewater samples from 25 Sydney WWTPs. Samples were plated on selective culture media, and four pathogens and their resistance patterns were identified using MALDI-TOF and VITEK 2. Geospatial information system (GIS) and statistical analysis in R was used to visualize and test AMR data for the significant influence of environmental or demographic factors in the catchment area of each WWTP. Our sampling events during 2017-2018 were relatively stable for bacterial loads, averaging log CFU/ ml 6.08 +/- 0.4. ESBL isolates were consistently isolated from all the sampling sites for each sampling periods, while CPE and VRE isolates were uncommonly isolated for the same periods. MRSA isolates were only sporadically found across the 25 WWPT catchment regions in three of four sampling periods. </w:t>
      </w:r>
      <w:r w:rsidR="00877687">
        <w:rPr>
          <w:sz w:val="19"/>
          <w:szCs w:val="19"/>
          <w:lang w:val="en-IN" w:eastAsia="en-IN"/>
        </w:rPr>
        <w:t>Statistical</w:t>
      </w:r>
      <w:r w:rsidRPr="0076178C">
        <w:rPr>
          <w:sz w:val="19"/>
          <w:szCs w:val="19"/>
          <w:lang w:val="en-IN" w:eastAsia="en-IN"/>
        </w:rPr>
        <w:t xml:space="preserve"> analysis found a significant influence of community factors (population density and level of education) for only ESBL. Healthcare-related factors (e.g. number of hospitals, general practitioners and residential aged care facilities) did not significantly influence the prevalence of AMR in any of the WWTP regions. Our preliminary findings support continuous wastewater epidemiology as a surveillance method of AMR in the general community for monitoring changes in trends in the prevalence of pathogens.</w:t>
      </w:r>
    </w:p>
    <w:p w14:paraId="2DA2101C" w14:textId="77777777" w:rsidR="002F7EDB" w:rsidRPr="0005164C" w:rsidRDefault="002F7EDB" w:rsidP="009F4101">
      <w:pPr>
        <w:pStyle w:val="BodyText"/>
        <w:ind w:firstLine="0"/>
        <w:jc w:val="left"/>
        <w:rPr>
          <w:sz w:val="19"/>
          <w:szCs w:val="19"/>
        </w:rPr>
      </w:pPr>
    </w:p>
    <w:p w14:paraId="1A996F97" w14:textId="77777777" w:rsidR="00C73D36" w:rsidRPr="0005164C" w:rsidRDefault="00C73D36" w:rsidP="00C73D36">
      <w:pPr>
        <w:pStyle w:val="BodyText"/>
        <w:numPr>
          <w:ilvl w:val="0"/>
          <w:numId w:val="2"/>
        </w:numPr>
        <w:jc w:val="left"/>
        <w:rPr>
          <w:b/>
          <w:sz w:val="19"/>
          <w:szCs w:val="19"/>
        </w:rPr>
      </w:pPr>
      <w:r w:rsidRPr="0005164C">
        <w:rPr>
          <w:b/>
          <w:sz w:val="19"/>
          <w:szCs w:val="19"/>
        </w:rPr>
        <w:t>Reference:</w:t>
      </w:r>
    </w:p>
    <w:p w14:paraId="71A4F663" w14:textId="77777777" w:rsidR="002F7EDB" w:rsidRDefault="002F7EDB" w:rsidP="00C73D36">
      <w:pPr>
        <w:numPr>
          <w:ilvl w:val="0"/>
          <w:numId w:val="3"/>
        </w:numPr>
        <w:shd w:val="clear" w:color="auto" w:fill="FFFFFF"/>
        <w:spacing w:before="100" w:beforeAutospacing="1" w:after="120"/>
        <w:jc w:val="left"/>
        <w:rPr>
          <w:sz w:val="19"/>
          <w:szCs w:val="19"/>
          <w:lang w:val="en-IN" w:eastAsia="en-IN"/>
        </w:rPr>
      </w:pPr>
      <w:r w:rsidRPr="002F7EDB">
        <w:rPr>
          <w:sz w:val="19"/>
          <w:szCs w:val="19"/>
          <w:lang w:val="en-IN" w:eastAsia="en-IN"/>
        </w:rPr>
        <w:t xml:space="preserve">Larson, E., 2007. Community factors in the development of antibiotic resistance. </w:t>
      </w:r>
      <w:proofErr w:type="spellStart"/>
      <w:r w:rsidRPr="002F7EDB">
        <w:rPr>
          <w:sz w:val="19"/>
          <w:szCs w:val="19"/>
          <w:lang w:val="en-IN" w:eastAsia="en-IN"/>
        </w:rPr>
        <w:t>Annu</w:t>
      </w:r>
      <w:proofErr w:type="spellEnd"/>
      <w:r w:rsidRPr="002F7EDB">
        <w:rPr>
          <w:sz w:val="19"/>
          <w:szCs w:val="19"/>
          <w:lang w:val="en-IN" w:eastAsia="en-IN"/>
        </w:rPr>
        <w:t>. Rev. Public Health, 28, pp.435-447.</w:t>
      </w:r>
    </w:p>
    <w:p w14:paraId="0B5AB7E5" w14:textId="3D50D0D9" w:rsidR="00C73D36" w:rsidRDefault="002F7EDB" w:rsidP="00C73D36">
      <w:pPr>
        <w:numPr>
          <w:ilvl w:val="0"/>
          <w:numId w:val="3"/>
        </w:numPr>
        <w:shd w:val="clear" w:color="auto" w:fill="FFFFFF"/>
        <w:spacing w:before="100" w:beforeAutospacing="1" w:after="120"/>
        <w:jc w:val="left"/>
        <w:rPr>
          <w:sz w:val="19"/>
          <w:szCs w:val="19"/>
          <w:lang w:val="en-IN" w:eastAsia="en-IN"/>
        </w:rPr>
      </w:pPr>
      <w:r w:rsidRPr="002F7EDB">
        <w:rPr>
          <w:sz w:val="19"/>
          <w:szCs w:val="19"/>
          <w:lang w:val="en-IN" w:eastAsia="en-IN"/>
        </w:rPr>
        <w:t xml:space="preserve">Meir-Gruber, L., Manor, Y., Gefen-Halevi, S., </w:t>
      </w:r>
      <w:proofErr w:type="spellStart"/>
      <w:r w:rsidRPr="002F7EDB">
        <w:rPr>
          <w:sz w:val="19"/>
          <w:szCs w:val="19"/>
          <w:lang w:val="en-IN" w:eastAsia="en-IN"/>
        </w:rPr>
        <w:t>Hindiyeh</w:t>
      </w:r>
      <w:proofErr w:type="spellEnd"/>
      <w:r w:rsidRPr="002F7EDB">
        <w:rPr>
          <w:sz w:val="19"/>
          <w:szCs w:val="19"/>
          <w:lang w:val="en-IN" w:eastAsia="en-IN"/>
        </w:rPr>
        <w:t xml:space="preserve">, M.Y., </w:t>
      </w:r>
      <w:proofErr w:type="spellStart"/>
      <w:r w:rsidRPr="002F7EDB">
        <w:rPr>
          <w:sz w:val="19"/>
          <w:szCs w:val="19"/>
          <w:lang w:val="en-IN" w:eastAsia="en-IN"/>
        </w:rPr>
        <w:t>Mileguir</w:t>
      </w:r>
      <w:proofErr w:type="spellEnd"/>
      <w:r w:rsidRPr="002F7EDB">
        <w:rPr>
          <w:sz w:val="19"/>
          <w:szCs w:val="19"/>
          <w:lang w:val="en-IN" w:eastAsia="en-IN"/>
        </w:rPr>
        <w:t xml:space="preserve">, F., Azar, R., Smollan, G., </w:t>
      </w:r>
      <w:proofErr w:type="spellStart"/>
      <w:r w:rsidRPr="002F7EDB">
        <w:rPr>
          <w:sz w:val="19"/>
          <w:szCs w:val="19"/>
          <w:lang w:val="en-IN" w:eastAsia="en-IN"/>
        </w:rPr>
        <w:t>Belausov</w:t>
      </w:r>
      <w:proofErr w:type="spellEnd"/>
      <w:r w:rsidRPr="002F7EDB">
        <w:rPr>
          <w:sz w:val="19"/>
          <w:szCs w:val="19"/>
          <w:lang w:val="en-IN" w:eastAsia="en-IN"/>
        </w:rPr>
        <w:t xml:space="preserve">, N., </w:t>
      </w:r>
      <w:proofErr w:type="spellStart"/>
      <w:r w:rsidRPr="002F7EDB">
        <w:rPr>
          <w:sz w:val="19"/>
          <w:szCs w:val="19"/>
          <w:lang w:val="en-IN" w:eastAsia="en-IN"/>
        </w:rPr>
        <w:t>Rahav</w:t>
      </w:r>
      <w:proofErr w:type="spellEnd"/>
      <w:r w:rsidRPr="002F7EDB">
        <w:rPr>
          <w:sz w:val="19"/>
          <w:szCs w:val="19"/>
          <w:lang w:val="en-IN" w:eastAsia="en-IN"/>
        </w:rPr>
        <w:t xml:space="preserve">, G., </w:t>
      </w:r>
      <w:proofErr w:type="spellStart"/>
      <w:r w:rsidRPr="002F7EDB">
        <w:rPr>
          <w:sz w:val="19"/>
          <w:szCs w:val="19"/>
          <w:lang w:val="en-IN" w:eastAsia="en-IN"/>
        </w:rPr>
        <w:t>Shamiss</w:t>
      </w:r>
      <w:proofErr w:type="spellEnd"/>
      <w:r w:rsidRPr="002F7EDB">
        <w:rPr>
          <w:sz w:val="19"/>
          <w:szCs w:val="19"/>
          <w:lang w:val="en-IN" w:eastAsia="en-IN"/>
        </w:rPr>
        <w:t xml:space="preserve">, A. and Mendelson, E., 2016. Population screening using sewage reveals pan-resistant bacteria in hospital and community samples. </w:t>
      </w:r>
      <w:proofErr w:type="spellStart"/>
      <w:r w:rsidRPr="002F7EDB">
        <w:rPr>
          <w:sz w:val="19"/>
          <w:szCs w:val="19"/>
          <w:lang w:val="en-IN" w:eastAsia="en-IN"/>
        </w:rPr>
        <w:t>PloS</w:t>
      </w:r>
      <w:proofErr w:type="spellEnd"/>
      <w:r w:rsidRPr="002F7EDB">
        <w:rPr>
          <w:sz w:val="19"/>
          <w:szCs w:val="19"/>
          <w:lang w:val="en-IN" w:eastAsia="en-IN"/>
        </w:rPr>
        <w:t xml:space="preserve"> one, 11(10).</w:t>
      </w:r>
    </w:p>
    <w:p w14:paraId="6068E408" w14:textId="6B55330E" w:rsidR="002F7EDB" w:rsidRDefault="002F7EDB" w:rsidP="00C73D36">
      <w:pPr>
        <w:numPr>
          <w:ilvl w:val="0"/>
          <w:numId w:val="3"/>
        </w:numPr>
        <w:shd w:val="clear" w:color="auto" w:fill="FFFFFF"/>
        <w:spacing w:before="100" w:beforeAutospacing="1" w:after="120"/>
        <w:jc w:val="left"/>
        <w:rPr>
          <w:sz w:val="19"/>
          <w:szCs w:val="19"/>
          <w:lang w:val="en-IN" w:eastAsia="en-IN"/>
        </w:rPr>
      </w:pPr>
      <w:r w:rsidRPr="002F7EDB">
        <w:rPr>
          <w:sz w:val="19"/>
          <w:szCs w:val="19"/>
          <w:lang w:val="en-IN" w:eastAsia="en-IN"/>
        </w:rPr>
        <w:t xml:space="preserve">Collignon, P., </w:t>
      </w:r>
      <w:proofErr w:type="spellStart"/>
      <w:r w:rsidRPr="002F7EDB">
        <w:rPr>
          <w:sz w:val="19"/>
          <w:szCs w:val="19"/>
          <w:lang w:val="en-IN" w:eastAsia="en-IN"/>
        </w:rPr>
        <w:t>Beggs</w:t>
      </w:r>
      <w:proofErr w:type="spellEnd"/>
      <w:r w:rsidRPr="002F7EDB">
        <w:rPr>
          <w:sz w:val="19"/>
          <w:szCs w:val="19"/>
          <w:lang w:val="en-IN" w:eastAsia="en-IN"/>
        </w:rPr>
        <w:t xml:space="preserve">, J.J., Walsh, T.R., </w:t>
      </w:r>
      <w:proofErr w:type="spellStart"/>
      <w:r w:rsidRPr="002F7EDB">
        <w:rPr>
          <w:sz w:val="19"/>
          <w:szCs w:val="19"/>
          <w:lang w:val="en-IN" w:eastAsia="en-IN"/>
        </w:rPr>
        <w:t>Gandra</w:t>
      </w:r>
      <w:proofErr w:type="spellEnd"/>
      <w:r w:rsidRPr="002F7EDB">
        <w:rPr>
          <w:sz w:val="19"/>
          <w:szCs w:val="19"/>
          <w:lang w:val="en-IN" w:eastAsia="en-IN"/>
        </w:rPr>
        <w:t>, S. and Laxminarayan, R., 2018. Anthropological and socioeconomic factors contributing to global antimicrobial resistance: a univariate and multivariable analysis. The Lancet Planetary Health, 2(9), pp.e398-e405.</w:t>
      </w:r>
    </w:p>
    <w:p w14:paraId="219D2513" w14:textId="77777777" w:rsidR="00C73D36" w:rsidRPr="0005164C" w:rsidRDefault="00C73D36" w:rsidP="00C73D36">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14:paraId="24A40AA4" w14:textId="2741B971" w:rsidR="00C73D36" w:rsidRPr="009F4101" w:rsidRDefault="009F4101" w:rsidP="00C73D36">
      <w:pPr>
        <w:jc w:val="both"/>
        <w:rPr>
          <w:sz w:val="19"/>
          <w:szCs w:val="19"/>
        </w:rPr>
      </w:pPr>
      <w:r>
        <w:rPr>
          <w:sz w:val="19"/>
          <w:szCs w:val="19"/>
        </w:rPr>
        <w:t>Kazi Mohammad Zillur Rahman is</w:t>
      </w:r>
      <w:r w:rsidRPr="009F4101">
        <w:rPr>
          <w:sz w:val="19"/>
          <w:szCs w:val="19"/>
        </w:rPr>
        <w:t xml:space="preserve"> </w:t>
      </w:r>
      <w:r>
        <w:rPr>
          <w:sz w:val="19"/>
          <w:szCs w:val="19"/>
        </w:rPr>
        <w:t>a</w:t>
      </w:r>
      <w:r w:rsidRPr="009F4101">
        <w:rPr>
          <w:sz w:val="19"/>
          <w:szCs w:val="19"/>
        </w:rPr>
        <w:t>n experienced microbiologist with more than six years of practical research experiences in areas of antimicrobial resistance (AMR) and enteric bacterial infections.</w:t>
      </w:r>
      <w:r>
        <w:rPr>
          <w:sz w:val="19"/>
          <w:szCs w:val="19"/>
        </w:rPr>
        <w:t xml:space="preserve"> He has published 14 research articles in international journals. He is </w:t>
      </w:r>
      <w:r w:rsidRPr="009F4101">
        <w:rPr>
          <w:sz w:val="19"/>
          <w:szCs w:val="19"/>
        </w:rPr>
        <w:t xml:space="preserve">currently working as a Scientia PhD candidate in the School of Biological, Earth and Environmental Sciences (BEES) at UNSW. </w:t>
      </w:r>
      <w:r>
        <w:rPr>
          <w:sz w:val="19"/>
          <w:szCs w:val="19"/>
        </w:rPr>
        <w:t>His</w:t>
      </w:r>
      <w:r w:rsidRPr="009F4101">
        <w:rPr>
          <w:sz w:val="19"/>
          <w:szCs w:val="19"/>
        </w:rPr>
        <w:t xml:space="preserve"> research goal is to establish wastewater as a monitoring tool for antimicrobial resistance (AMR) in the general community on a regional and national scale. </w:t>
      </w:r>
      <w:r w:rsidR="00C73D36" w:rsidRPr="0005164C">
        <w:rPr>
          <w:sz w:val="19"/>
          <w:szCs w:val="19"/>
        </w:rPr>
        <w:br/>
      </w:r>
    </w:p>
    <w:p w14:paraId="44390D05" w14:textId="3C71F987" w:rsidR="00C73D36" w:rsidRPr="0005164C" w:rsidRDefault="00C73D36" w:rsidP="00C73D36">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14:paraId="560B6A62" w14:textId="632677E3" w:rsidR="00C73D36" w:rsidRPr="0005164C" w:rsidRDefault="00C73D36" w:rsidP="00C73D36">
      <w:pPr>
        <w:autoSpaceDE w:val="0"/>
        <w:autoSpaceDN w:val="0"/>
        <w:adjustRightInd w:val="0"/>
        <w:jc w:val="left"/>
        <w:rPr>
          <w:sz w:val="19"/>
          <w:szCs w:val="19"/>
          <w:lang w:val="en-NZ"/>
        </w:rPr>
      </w:pPr>
      <w:r w:rsidRPr="0005164C">
        <w:rPr>
          <w:sz w:val="19"/>
          <w:szCs w:val="19"/>
          <w:lang w:val="en-NZ"/>
        </w:rPr>
        <w:br/>
      </w:r>
      <w:r w:rsidR="00C933E5">
        <w:rPr>
          <w:noProof/>
        </w:rPr>
        <w:drawing>
          <wp:inline distT="0" distB="0" distL="0" distR="0" wp14:anchorId="4563F2FF" wp14:editId="6E0AA26F">
            <wp:extent cx="1296063" cy="107908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6137" cy="1087476"/>
                    </a:xfrm>
                    <a:prstGeom prst="rect">
                      <a:avLst/>
                    </a:prstGeom>
                    <a:noFill/>
                    <a:ln>
                      <a:noFill/>
                    </a:ln>
                  </pic:spPr>
                </pic:pic>
              </a:graphicData>
            </a:graphic>
          </wp:inline>
        </w:drawing>
      </w:r>
    </w:p>
    <w:p w14:paraId="0EFD1A34" w14:textId="3457E9BB" w:rsidR="00C73D36" w:rsidRPr="0005164C" w:rsidRDefault="00C73D36" w:rsidP="00C73D36">
      <w:pPr>
        <w:autoSpaceDE w:val="0"/>
        <w:autoSpaceDN w:val="0"/>
        <w:adjustRightInd w:val="0"/>
        <w:jc w:val="left"/>
        <w:rPr>
          <w:sz w:val="19"/>
          <w:szCs w:val="19"/>
          <w:lang w:val="en-NZ"/>
        </w:rPr>
      </w:pPr>
      <w:r w:rsidRPr="0005164C">
        <w:rPr>
          <w:sz w:val="19"/>
          <w:szCs w:val="19"/>
          <w:lang w:val="en-NZ"/>
        </w:rPr>
        <w:t>Full Name:</w:t>
      </w:r>
      <w:r w:rsidR="009F4101">
        <w:rPr>
          <w:sz w:val="19"/>
          <w:szCs w:val="19"/>
          <w:lang w:val="en-NZ"/>
        </w:rPr>
        <w:t xml:space="preserve"> Kazi Mohammad Zillur Rahman</w:t>
      </w:r>
    </w:p>
    <w:p w14:paraId="1EE3063F" w14:textId="3F1F51DA" w:rsidR="00C73D36" w:rsidRPr="0005164C" w:rsidRDefault="00C73D36" w:rsidP="00C73D36">
      <w:pPr>
        <w:autoSpaceDE w:val="0"/>
        <w:autoSpaceDN w:val="0"/>
        <w:adjustRightInd w:val="0"/>
        <w:jc w:val="left"/>
        <w:rPr>
          <w:b/>
          <w:sz w:val="19"/>
          <w:szCs w:val="19"/>
          <w:lang w:val="en-NZ"/>
        </w:rPr>
      </w:pPr>
      <w:r w:rsidRPr="0005164C">
        <w:rPr>
          <w:sz w:val="19"/>
          <w:szCs w:val="19"/>
          <w:lang w:val="en-NZ"/>
        </w:rPr>
        <w:t>Contact number:</w:t>
      </w:r>
      <w:r w:rsidR="009F4101">
        <w:rPr>
          <w:sz w:val="19"/>
          <w:szCs w:val="19"/>
          <w:lang w:val="en-NZ"/>
        </w:rPr>
        <w:t xml:space="preserve"> +61432759300</w:t>
      </w:r>
      <w:r w:rsidRPr="0005164C">
        <w:rPr>
          <w:sz w:val="19"/>
          <w:szCs w:val="19"/>
          <w:lang w:val="en-NZ"/>
        </w:rPr>
        <w:br/>
        <w:t>Twitter account:</w:t>
      </w:r>
      <w:r w:rsidR="00E174D1" w:rsidRPr="00E174D1">
        <w:t xml:space="preserve"> </w:t>
      </w:r>
      <w:r w:rsidR="00E174D1" w:rsidRPr="00E174D1">
        <w:rPr>
          <w:sz w:val="19"/>
          <w:szCs w:val="19"/>
          <w:lang w:val="en-NZ"/>
        </w:rPr>
        <w:t>https://twitter.com/KaziMohammadZi1</w:t>
      </w:r>
      <w:r w:rsidRPr="0005164C">
        <w:rPr>
          <w:sz w:val="19"/>
          <w:szCs w:val="19"/>
          <w:lang w:val="en-NZ"/>
        </w:rPr>
        <w:br/>
        <w:t>Linked In account:</w:t>
      </w:r>
      <w:r w:rsidR="009F4101" w:rsidRPr="009F4101">
        <w:t xml:space="preserve"> </w:t>
      </w:r>
      <w:r w:rsidR="009F4101" w:rsidRPr="009F4101">
        <w:rPr>
          <w:sz w:val="19"/>
          <w:szCs w:val="19"/>
          <w:lang w:val="en-NZ"/>
        </w:rPr>
        <w:t>https://www.linkedin.com/in/kazi-md-zillur-rahman/</w:t>
      </w:r>
    </w:p>
    <w:p w14:paraId="06737210" w14:textId="50A82C8B" w:rsidR="00C73D36" w:rsidRPr="0005164C" w:rsidRDefault="00C73D36" w:rsidP="00C73D36">
      <w:pPr>
        <w:autoSpaceDE w:val="0"/>
        <w:autoSpaceDN w:val="0"/>
        <w:adjustRightInd w:val="0"/>
        <w:jc w:val="left"/>
        <w:rPr>
          <w:sz w:val="19"/>
          <w:szCs w:val="19"/>
          <w:lang w:val="en-NZ"/>
        </w:rPr>
      </w:pPr>
      <w:r w:rsidRPr="0005164C">
        <w:rPr>
          <w:sz w:val="19"/>
          <w:szCs w:val="19"/>
          <w:lang w:val="en-NZ"/>
        </w:rPr>
        <w:t>Session name/ number:</w:t>
      </w:r>
      <w:r w:rsidR="009F4101">
        <w:rPr>
          <w:sz w:val="19"/>
          <w:szCs w:val="19"/>
          <w:lang w:val="en-NZ"/>
        </w:rPr>
        <w:t xml:space="preserve"> </w:t>
      </w:r>
      <w:r w:rsidR="009F4101" w:rsidRPr="009F4101">
        <w:rPr>
          <w:sz w:val="19"/>
          <w:szCs w:val="19"/>
          <w:lang w:val="en-NZ"/>
        </w:rPr>
        <w:t>Antibiotics and Public Health</w:t>
      </w:r>
      <w:r w:rsidRPr="0005164C">
        <w:rPr>
          <w:sz w:val="19"/>
          <w:szCs w:val="19"/>
          <w:lang w:val="en-NZ"/>
        </w:rPr>
        <w:br/>
        <w:t>Category: Oral presentation</w:t>
      </w:r>
    </w:p>
    <w:p w14:paraId="76D2B186" w14:textId="2F93E0F4" w:rsidR="003C4125" w:rsidRPr="00886A8A" w:rsidRDefault="00C73D36" w:rsidP="00886A8A">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9F4101">
        <w:rPr>
          <w:sz w:val="18"/>
          <w:szCs w:val="18"/>
          <w:lang w:val="en-IN"/>
        </w:rPr>
        <w:t xml:space="preserve"> BN0295826</w:t>
      </w:r>
      <w:r w:rsidR="00E174D1">
        <w:rPr>
          <w:sz w:val="18"/>
          <w:szCs w:val="18"/>
          <w:lang w:val="en-IN"/>
        </w:rPr>
        <w:t xml:space="preserve"> </w:t>
      </w:r>
    </w:p>
    <w:sectPr w:rsidR="003C4125" w:rsidRPr="00886A8A"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D36"/>
    <w:rsid w:val="001B521E"/>
    <w:rsid w:val="002F7EDB"/>
    <w:rsid w:val="003C4125"/>
    <w:rsid w:val="0076178C"/>
    <w:rsid w:val="00877687"/>
    <w:rsid w:val="00886A8A"/>
    <w:rsid w:val="009F4101"/>
    <w:rsid w:val="00A8727C"/>
    <w:rsid w:val="00C73D36"/>
    <w:rsid w:val="00C933E5"/>
    <w:rsid w:val="00E17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8640E"/>
  <w15:chartTrackingRefBased/>
  <w15:docId w15:val="{EC1804F0-0D2A-4E69-9F70-554A4D2C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D36"/>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C73D36"/>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C73D36"/>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C73D36"/>
    <w:rPr>
      <w:rFonts w:ascii="Times New Roman" w:eastAsia="MS Mincho" w:hAnsi="Times New Roman" w:cs="Times New Roman"/>
      <w:spacing w:val="-1"/>
      <w:sz w:val="20"/>
      <w:szCs w:val="20"/>
    </w:rPr>
  </w:style>
  <w:style w:type="paragraph" w:customStyle="1" w:styleId="keywords">
    <w:name w:val="key words"/>
    <w:uiPriority w:val="99"/>
    <w:rsid w:val="00C73D36"/>
    <w:pPr>
      <w:spacing w:after="120" w:line="240" w:lineRule="auto"/>
      <w:ind w:firstLine="274"/>
      <w:jc w:val="both"/>
    </w:pPr>
    <w:rPr>
      <w:rFonts w:ascii="Times New Roman" w:eastAsia="Times New Roman" w:hAnsi="Times New Roman" w:cs="Times New Roman"/>
      <w:b/>
      <w:bCs/>
      <w:i/>
      <w:iCs/>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 Mohammad Zillur Rahman</dc:creator>
  <cp:keywords/>
  <dc:description/>
  <cp:lastModifiedBy>Kazi Mohammad Zillur Rahman</cp:lastModifiedBy>
  <cp:revision>2</cp:revision>
  <dcterms:created xsi:type="dcterms:W3CDTF">2020-04-29T03:16:00Z</dcterms:created>
  <dcterms:modified xsi:type="dcterms:W3CDTF">2020-04-29T03:16:00Z</dcterms:modified>
</cp:coreProperties>
</file>