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109" w:rsidRPr="00ED1413" w:rsidRDefault="00564220" w:rsidP="003C1109">
      <w:pPr>
        <w:pStyle w:val="Geenafstand"/>
        <w:spacing w:line="360" w:lineRule="exact"/>
        <w:jc w:val="both"/>
        <w:rPr>
          <w:b/>
        </w:rPr>
      </w:pPr>
      <w:r>
        <w:rPr>
          <w:b/>
        </w:rPr>
        <w:t xml:space="preserve">The mighty human microbiome: a key to </w:t>
      </w:r>
      <w:r w:rsidR="002B7EE1">
        <w:rPr>
          <w:b/>
        </w:rPr>
        <w:t>solving the problem of AMR in primary care?</w:t>
      </w:r>
    </w:p>
    <w:p w:rsidR="003C1109" w:rsidRPr="003C1109" w:rsidRDefault="003C1109" w:rsidP="003C1109">
      <w:pPr>
        <w:pStyle w:val="Geenafstand"/>
        <w:spacing w:line="360" w:lineRule="exact"/>
        <w:jc w:val="both"/>
      </w:pPr>
      <w:bookmarkStart w:id="0" w:name="_GoBack"/>
      <w:bookmarkEnd w:id="0"/>
    </w:p>
    <w:p w:rsidR="00F21209" w:rsidRPr="00564220" w:rsidRDefault="002B7EE1" w:rsidP="00F21209">
      <w:pPr>
        <w:pStyle w:val="Geenafstand"/>
        <w:spacing w:line="360" w:lineRule="exact"/>
        <w:jc w:val="both"/>
        <w:rPr>
          <w:b/>
          <w:u w:val="single"/>
          <w:vertAlign w:val="superscript"/>
        </w:rPr>
      </w:pPr>
      <w:r>
        <w:rPr>
          <w:b/>
          <w:u w:val="single"/>
        </w:rPr>
        <w:t>Esther van der Werf</w:t>
      </w:r>
    </w:p>
    <w:p w:rsidR="002B7EE1" w:rsidRDefault="002B7EE1" w:rsidP="002B7EE1">
      <w:pPr>
        <w:pStyle w:val="Geenafstand"/>
        <w:spacing w:line="360" w:lineRule="exact"/>
        <w:jc w:val="both"/>
        <w:rPr>
          <w:b/>
          <w:vertAlign w:val="superscript"/>
        </w:rPr>
      </w:pPr>
    </w:p>
    <w:p w:rsidR="002B7EE1" w:rsidRDefault="00A643FF" w:rsidP="00A643FF">
      <w:pPr>
        <w:pStyle w:val="Geenafstand"/>
        <w:numPr>
          <w:ilvl w:val="0"/>
          <w:numId w:val="7"/>
        </w:numPr>
        <w:spacing w:line="360" w:lineRule="exact"/>
        <w:jc w:val="both"/>
      </w:pPr>
      <w:r>
        <w:t xml:space="preserve">Head of Department </w:t>
      </w:r>
      <w:r w:rsidR="002B7EE1">
        <w:t xml:space="preserve">Health and Nutrition, Louis </w:t>
      </w:r>
      <w:proofErr w:type="spellStart"/>
      <w:r>
        <w:t>Bolk</w:t>
      </w:r>
      <w:proofErr w:type="spellEnd"/>
      <w:r>
        <w:t xml:space="preserve"> Institute, </w:t>
      </w:r>
      <w:r w:rsidRPr="00A643FF">
        <w:t xml:space="preserve">3981 AJ </w:t>
      </w:r>
      <w:proofErr w:type="spellStart"/>
      <w:r w:rsidRPr="00A643FF">
        <w:t>Bunnik</w:t>
      </w:r>
      <w:proofErr w:type="spellEnd"/>
      <w:r>
        <w:t xml:space="preserve">, </w:t>
      </w:r>
      <w:r w:rsidR="002B7EE1">
        <w:t>The Netherlands</w:t>
      </w:r>
    </w:p>
    <w:p w:rsidR="00ED1413" w:rsidRPr="00ED1413" w:rsidRDefault="002B7EE1" w:rsidP="009D3439">
      <w:pPr>
        <w:pStyle w:val="Geenafstand"/>
        <w:numPr>
          <w:ilvl w:val="0"/>
          <w:numId w:val="7"/>
        </w:numPr>
        <w:spacing w:line="360" w:lineRule="exact"/>
        <w:jc w:val="both"/>
      </w:pPr>
      <w:r>
        <w:t>Honorary senior lecturer Primary care i</w:t>
      </w:r>
      <w:r w:rsidR="00A643FF">
        <w:t>nfection epidemiology, Bristol M</w:t>
      </w:r>
      <w:r>
        <w:t xml:space="preserve">edical School, University of Bristol, </w:t>
      </w:r>
      <w:r w:rsidR="00ED1413" w:rsidRPr="00ED1413">
        <w:t>Bristol, BS8 2PS, The United Kingdom</w:t>
      </w:r>
    </w:p>
    <w:p w:rsidR="00ED1413" w:rsidRPr="003C1109" w:rsidRDefault="00ED1413" w:rsidP="00ED1413">
      <w:pPr>
        <w:pStyle w:val="Geenafstand"/>
        <w:spacing w:line="360" w:lineRule="exact"/>
        <w:jc w:val="both"/>
        <w:rPr>
          <w:b/>
        </w:rPr>
      </w:pPr>
    </w:p>
    <w:p w:rsidR="005872DD" w:rsidRDefault="005872DD" w:rsidP="005872DD">
      <w:pPr>
        <w:pStyle w:val="Geenafstand"/>
        <w:spacing w:line="360" w:lineRule="exact"/>
        <w:jc w:val="both"/>
      </w:pPr>
      <w:r w:rsidRPr="004E470B">
        <w:t>The human microbiome is overly exposed to antibiotics, due, not only to their medical use, but also to their utilization in farms. In the last decade interest in the effect of antibiotic therapy on the host microbiota has increased, and new technologies are beginning to uncover the complexity and importance of balanced host-microbiota interactions.  Microbiome composition can be rapidly altered by exposure to antibiotics, with potential immediate effect on the health (acute diseases)</w:t>
      </w:r>
      <w:r>
        <w:t xml:space="preserve">. For example a recent study of </w:t>
      </w:r>
      <w:proofErr w:type="spellStart"/>
      <w:r>
        <w:t>Ildiko</w:t>
      </w:r>
      <w:proofErr w:type="spellEnd"/>
      <w:r>
        <w:t xml:space="preserve"> et al.</w:t>
      </w:r>
      <w:r w:rsidR="00564220">
        <w:t xml:space="preserve"> [1]</w:t>
      </w:r>
      <w:r>
        <w:t xml:space="preserve"> showed that patients with UTI given an antibiotic were more likely to experience a subsequent </w:t>
      </w:r>
      <w:r w:rsidR="003C1109">
        <w:t>UTI in the following weeks</w:t>
      </w:r>
      <w:r>
        <w:t>.</w:t>
      </w:r>
      <w:r w:rsidRPr="004E470B">
        <w:t xml:space="preserve"> </w:t>
      </w:r>
      <w:r>
        <w:t>However, antibiotics-induced changes of the gut microbiome</w:t>
      </w:r>
      <w:r w:rsidRPr="004E470B">
        <w:t xml:space="preserve"> can also indirectly affect health in long term</w:t>
      </w:r>
      <w:r>
        <w:t xml:space="preserve"> (e.g. allergies/atopy/asthma)</w:t>
      </w:r>
      <w:r w:rsidR="00564220">
        <w:t xml:space="preserve"> [2]</w:t>
      </w:r>
      <w:r w:rsidRPr="004E470B">
        <w:t>. Once antibiotic treatment has stopped, the microbiome may present a certain degree of resilience, being capable of returning to a composition similar to the original one, but the initial state is often not totally recovered. In fact, antibiotic-induced microbiota alterations can remain after a long periods of time, spanning months and even years.</w:t>
      </w:r>
    </w:p>
    <w:p w:rsidR="005872DD" w:rsidRPr="005872DD" w:rsidRDefault="005872DD" w:rsidP="005872DD">
      <w:pPr>
        <w:spacing w:after="0" w:line="360" w:lineRule="exact"/>
        <w:jc w:val="both"/>
        <w:rPr>
          <w:rFonts w:eastAsia="Times New Roman" w:cs="Times New Roman"/>
        </w:rPr>
      </w:pPr>
      <w:r w:rsidRPr="005872DD">
        <w:rPr>
          <w:rFonts w:eastAsia="Times New Roman" w:cs="Times New Roman"/>
        </w:rPr>
        <w:t xml:space="preserve">The question is whether GPs and patients take the biologic costs of antibiotic use into account sufficiently in making treatment decisions. Differences in perceptions about how risk-free antibiotic treatment is might in part account for the variation in rates of their use among GPs </w:t>
      </w:r>
      <w:r w:rsidR="002B7EE1">
        <w:rPr>
          <w:rFonts w:eastAsia="Times New Roman" w:cs="Times New Roman"/>
        </w:rPr>
        <w:t>worldwide</w:t>
      </w:r>
      <w:r>
        <w:rPr>
          <w:rFonts w:eastAsia="Times New Roman" w:cs="Times New Roman"/>
        </w:rPr>
        <w:t xml:space="preserve"> </w:t>
      </w:r>
      <w:r w:rsidR="003822B8">
        <w:rPr>
          <w:rFonts w:eastAsia="Times New Roman" w:cs="Times New Roman"/>
        </w:rPr>
        <w:t>Evidence of alternative treatment strategies that could relieve symptoms and reduce antibiotic consumption is needed.</w:t>
      </w:r>
    </w:p>
    <w:p w:rsidR="005872DD" w:rsidRDefault="003822B8" w:rsidP="005872DD">
      <w:pPr>
        <w:pStyle w:val="Geenafstand"/>
        <w:spacing w:line="360" w:lineRule="exact"/>
        <w:jc w:val="both"/>
      </w:pPr>
      <w:r>
        <w:t xml:space="preserve">In patients who needed to be treated with antibiotics </w:t>
      </w:r>
      <w:r w:rsidR="005872DD" w:rsidRPr="004E470B">
        <w:t xml:space="preserve">microbiome modulation to restore the human microbiome post antibiotic use might be a powerful strategy to improve resilience and health. Microbiota </w:t>
      </w:r>
      <w:r w:rsidR="005872DD">
        <w:t xml:space="preserve">prevention- and </w:t>
      </w:r>
      <w:r w:rsidR="005872DD" w:rsidRPr="004E470B">
        <w:t xml:space="preserve">intervention strategies, including </w:t>
      </w:r>
      <w:r w:rsidR="005872DD">
        <w:t xml:space="preserve">complementary and alternative medicine (CAM), faecal transplant, </w:t>
      </w:r>
      <w:r w:rsidR="005872DD" w:rsidRPr="004E470B">
        <w:t xml:space="preserve">prebiotics, probiotics and nutrition, might be effective strategies to conserve and steward the effects of antibiotics. </w:t>
      </w:r>
    </w:p>
    <w:p w:rsidR="00ED1413" w:rsidRDefault="00ED1413" w:rsidP="005872DD">
      <w:pPr>
        <w:pStyle w:val="Geenafstand"/>
        <w:spacing w:line="360" w:lineRule="exact"/>
        <w:jc w:val="both"/>
      </w:pPr>
    </w:p>
    <w:p w:rsidR="00564220" w:rsidRPr="00564220" w:rsidRDefault="00564220" w:rsidP="005872DD">
      <w:pPr>
        <w:pStyle w:val="Geenafstand"/>
        <w:spacing w:line="360" w:lineRule="exact"/>
        <w:jc w:val="both"/>
        <w:rPr>
          <w:b/>
        </w:rPr>
      </w:pPr>
      <w:r w:rsidRPr="00564220">
        <w:rPr>
          <w:b/>
        </w:rPr>
        <w:t>References</w:t>
      </w:r>
    </w:p>
    <w:p w:rsidR="00ED1413" w:rsidRDefault="00ED1413" w:rsidP="00564220">
      <w:pPr>
        <w:pStyle w:val="Geenafstand"/>
        <w:numPr>
          <w:ilvl w:val="0"/>
          <w:numId w:val="5"/>
        </w:numPr>
        <w:spacing w:line="360" w:lineRule="exact"/>
        <w:jc w:val="both"/>
      </w:pPr>
      <w:proofErr w:type="spellStart"/>
      <w:r>
        <w:t>Ildikó</w:t>
      </w:r>
      <w:proofErr w:type="spellEnd"/>
      <w:r>
        <w:t xml:space="preserve"> </w:t>
      </w:r>
      <w:proofErr w:type="spellStart"/>
      <w:r>
        <w:t>Gágyor</w:t>
      </w:r>
      <w:proofErr w:type="spellEnd"/>
      <w:r>
        <w:t xml:space="preserve">, </w:t>
      </w:r>
      <w:proofErr w:type="spellStart"/>
      <w:r>
        <w:t>Jutta</w:t>
      </w:r>
      <w:proofErr w:type="spellEnd"/>
      <w:r>
        <w:t xml:space="preserve"> </w:t>
      </w:r>
      <w:proofErr w:type="spellStart"/>
      <w:r>
        <w:t>Bleidorn</w:t>
      </w:r>
      <w:proofErr w:type="spellEnd"/>
      <w:r>
        <w:t xml:space="preserve">, Michael M </w:t>
      </w:r>
      <w:proofErr w:type="spellStart"/>
      <w:r>
        <w:t>Kochen</w:t>
      </w:r>
      <w:proofErr w:type="spellEnd"/>
      <w:r>
        <w:t xml:space="preserve">, et.al. Ibuprofen versus </w:t>
      </w:r>
      <w:proofErr w:type="spellStart"/>
      <w:r>
        <w:t>fosfomycin</w:t>
      </w:r>
      <w:proofErr w:type="spellEnd"/>
      <w:r>
        <w:t xml:space="preserve"> for uncomplicated urinary tract infection in women: randomised controlled trial.</w:t>
      </w:r>
      <w:r w:rsidRPr="00ED1413">
        <w:t xml:space="preserve"> BMJ 2015;351:h6544</w:t>
      </w:r>
    </w:p>
    <w:p w:rsidR="00ED1413" w:rsidRDefault="00ED1413" w:rsidP="00564220">
      <w:pPr>
        <w:pStyle w:val="Geenafstand"/>
        <w:numPr>
          <w:ilvl w:val="0"/>
          <w:numId w:val="5"/>
        </w:numPr>
        <w:spacing w:line="360" w:lineRule="exact"/>
        <w:jc w:val="both"/>
      </w:pPr>
      <w:r>
        <w:t xml:space="preserve">Amy Langdon, Nathan Crook, and </w:t>
      </w:r>
      <w:proofErr w:type="spellStart"/>
      <w:r>
        <w:t>Gautam</w:t>
      </w:r>
      <w:proofErr w:type="spellEnd"/>
      <w:r>
        <w:t xml:space="preserve"> </w:t>
      </w:r>
      <w:proofErr w:type="spellStart"/>
      <w:r>
        <w:t>Dantas</w:t>
      </w:r>
      <w:proofErr w:type="spellEnd"/>
      <w:r>
        <w:t>. The effects of antibiotics on the microbiome throughout development and alternative approaches for therapeutic modulation. Genome Med. 2016; 8: 39.</w:t>
      </w:r>
    </w:p>
    <w:sectPr w:rsidR="00ED141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760275"/>
    <w:multiLevelType w:val="hybridMultilevel"/>
    <w:tmpl w:val="A6824C4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220F5FF0"/>
    <w:multiLevelType w:val="hybridMultilevel"/>
    <w:tmpl w:val="95401FAE"/>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46ED3C11"/>
    <w:multiLevelType w:val="hybridMultilevel"/>
    <w:tmpl w:val="AFF4A47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494D4054"/>
    <w:multiLevelType w:val="hybridMultilevel"/>
    <w:tmpl w:val="1CC4050E"/>
    <w:lvl w:ilvl="0" w:tplc="78A2436A">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D864B6E"/>
    <w:multiLevelType w:val="hybridMultilevel"/>
    <w:tmpl w:val="4EE2986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F593ED3"/>
    <w:multiLevelType w:val="hybridMultilevel"/>
    <w:tmpl w:val="90A20AF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51BB4390"/>
    <w:multiLevelType w:val="hybridMultilevel"/>
    <w:tmpl w:val="CEFE5D8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4"/>
  </w:num>
  <w:num w:numId="2">
    <w:abstractNumId w:val="0"/>
  </w:num>
  <w:num w:numId="3">
    <w:abstractNumId w:val="6"/>
  </w:num>
  <w:num w:numId="4">
    <w:abstractNumId w:val="5"/>
  </w:num>
  <w:num w:numId="5">
    <w:abstractNumId w:val="3"/>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72DD"/>
    <w:rsid w:val="00241009"/>
    <w:rsid w:val="002B7EE1"/>
    <w:rsid w:val="003822B8"/>
    <w:rsid w:val="003C1109"/>
    <w:rsid w:val="00564220"/>
    <w:rsid w:val="005872DD"/>
    <w:rsid w:val="00A643FF"/>
    <w:rsid w:val="00D23CC9"/>
    <w:rsid w:val="00ED1413"/>
    <w:rsid w:val="00F212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136AA0"/>
  <w15:chartTrackingRefBased/>
  <w15:docId w15:val="{58776EA5-356E-454C-B505-3200E79D4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5872DD"/>
    <w:pPr>
      <w:spacing w:after="0" w:line="240" w:lineRule="auto"/>
    </w:pPr>
  </w:style>
  <w:style w:type="character" w:customStyle="1" w:styleId="italic">
    <w:name w:val="italic"/>
    <w:basedOn w:val="Standaardalinea-lettertype"/>
    <w:rsid w:val="00ED1413"/>
  </w:style>
  <w:style w:type="character" w:customStyle="1" w:styleId="apple-converted-space">
    <w:name w:val="apple-converted-space"/>
    <w:basedOn w:val="Standaardalinea-lettertype"/>
    <w:rsid w:val="00ED14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420</Words>
  <Characters>2316</Characters>
  <Application>Microsoft Office Word</Application>
  <DocSecurity>0</DocSecurity>
  <Lines>19</Lines>
  <Paragraphs>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University of Bristol</Company>
  <LinksUpToDate>false</LinksUpToDate>
  <CharactersWithSpaces>2731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ET Kok</dc:creator>
  <cp:keywords/>
  <dc:description/>
  <cp:lastModifiedBy>Esther van der Werf</cp:lastModifiedBy>
  <cp:revision>2</cp:revision>
  <dcterms:created xsi:type="dcterms:W3CDTF">2019-12-10T07:46:00Z</dcterms:created>
  <dcterms:modified xsi:type="dcterms:W3CDTF">2019-12-10T07:46:00Z</dcterms:modified>
</cp:coreProperties>
</file>