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bookmarkStart w:id="0" w:name="_GoBack"/>
      <w:bookmarkEnd w:id="0"/>
      <w:r>
        <w:rPr>
          <w:color w:val="337AB7"/>
        </w:rPr>
        <w:t>Tackle the ‘Superbug’ – Antimicrobial Resistance before it kills</w:t>
      </w:r>
    </w:p>
    <w:p>
      <w:pPr>
        <w:pStyle w:val="TextBody"/>
        <w:spacing w:lineRule="exact" w:line="198" w:before="73" w:after="0"/>
        <w:ind w:left="100" w:right="5987" w:hanging="0"/>
        <w:rPr/>
      </w:pPr>
      <w:r>
        <w:rPr>
          <w:rFonts w:ascii="Arial" w:hAnsi="Arial"/>
        </w:rPr>
        <w:t>Sonu Baisoya, M.Pharm (Pharmacology), Venus Remedies Limited, India</w:t>
      </w:r>
    </w:p>
    <w:p>
      <w:pPr>
        <w:sectPr>
          <w:headerReference w:type="default" r:id="rId2"/>
          <w:footerReference w:type="default" r:id="rId3"/>
          <w:type w:val="nextPage"/>
          <w:pgSz w:w="11906" w:h="16838"/>
          <w:pgMar w:left="620" w:right="600" w:header="541" w:top="1114" w:footer="642" w:bottom="1215" w:gutter="0"/>
          <w:pgNumType w:fmt="decimal"/>
          <w:formProt w:val="false"/>
          <w:textDirection w:val="lrTb"/>
          <w:docGrid w:type="default" w:linePitch="600" w:charSpace="36864"/>
        </w:sectPr>
      </w:pPr>
    </w:p>
    <w:p>
      <w:pPr>
        <w:pStyle w:val="Heading3"/>
        <w:spacing w:before="147" w:after="0"/>
        <w:jc w:val="both"/>
        <w:rPr/>
      </w:pPr>
      <w:r>
        <w:rPr>
          <w:color w:val="BF5A14"/>
        </w:rPr>
        <w:t>Abstract</w:t>
      </w:r>
    </w:p>
    <w:p>
      <w:pPr>
        <w:pStyle w:val="TextBody"/>
        <w:spacing w:lineRule="auto" w:line="278" w:before="90" w:after="0"/>
        <w:ind w:left="100" w:hanging="0"/>
        <w:jc w:val="both"/>
        <w:rPr/>
      </w:pPr>
      <w:r>
        <w:rPr/>
        <w:t>Antimicrobial resistance (AMR) increasing at alarming rate both in the community and in hospitals, now becoming a serious threat to global public health. By 2050, It is estimated that 10 million people will die each year if current trend rising continues at same rate; one person dying every three second if there is no action taken against this bad-bug. Bacterial infections are the highest burden on developing nations. In India, estimated 4.1 lakhs children aged below 5 years die due to pneumonia annually which accounts for 25% of all child deaths in India. All of the existing antibiotics becoming non-effective due to emerging resistance in the nosocomial pathogens and needs emergency measurements to tackle and combating AMR. Increased prevalence of extended spectrum beta lactamases (ESBLs) was noted in 1990s and now metallo-beta lactamases (MBLs) and multidrug-resistant pathogens are spreading widely, contributing major threat for the management and treatment of ICU patients along with outpatients. WHO highlights emergence and serious threat to the global public health due to spreading of critical priority pathogens (Acinetobacter baumanii, Pseudomonas aeruginosa and enterobacteriaeceae) which has been a major concern in developed and developing nations. High rate of AMR is due to lack of surveillance mechanisms or system for actual monitoring and its utility, ineffective healthcare facility, hospital control policies, poor sanitation and use of antimicrobials for animals. Cooperation and co-ordination among countries is required to tackle the global emergence and spread of AMR. Their regulatory bodies need national action plans to counter superbug. Antibiotic resistance breakers (ARB) can play a vital role to combat AMR and void the discovery of new antibiotics. Greater research and innovation are required for  development of new drugs, vaccines and diagnostic tools for combating AMR and for a better future.</w:t>
      </w:r>
    </w:p>
    <w:p>
      <w:pPr>
        <w:pStyle w:val="TextBody"/>
        <w:spacing w:lineRule="auto" w:line="278" w:before="90" w:after="0"/>
        <w:ind w:left="100" w:hanging="0"/>
        <w:jc w:val="both"/>
        <w:rPr/>
      </w:pPr>
      <w:r>
        <w:rPr/>
      </w:r>
    </w:p>
    <w:p>
      <w:pPr>
        <w:pStyle w:val="TextBody"/>
        <w:spacing w:lineRule="auto" w:line="278" w:before="90" w:after="0"/>
        <w:ind w:left="100" w:hanging="0"/>
        <w:jc w:val="both"/>
        <w:rPr/>
      </w:pPr>
      <w:r>
        <w:rPr/>
      </w:r>
    </w:p>
    <w:p>
      <w:pPr>
        <w:pStyle w:val="Heading3"/>
        <w:spacing w:before="74" w:after="0"/>
        <w:rPr/>
      </w:pPr>
      <w:r>
        <w:br w:type="column"/>
      </w:r>
      <w:r>
        <w:rPr>
          <w:b/>
          <w:color w:val="BF5A14"/>
          <w:sz w:val="20"/>
        </w:rPr>
        <w:t>Recent Publications</w:t>
      </w:r>
    </w:p>
    <w:p>
      <w:pPr>
        <w:pStyle w:val="ListParagraph"/>
        <w:numPr>
          <w:ilvl w:val="0"/>
          <w:numId w:val="1"/>
        </w:numPr>
        <w:tabs>
          <w:tab w:val="left" w:pos="384" w:leader="none"/>
        </w:tabs>
        <w:spacing w:lineRule="exact" w:line="216" w:before="103" w:after="0"/>
        <w:ind w:left="383" w:right="138" w:hanging="283"/>
        <w:rPr/>
      </w:pPr>
      <w:r>
        <w:rPr>
          <w:sz w:val="18"/>
        </w:rPr>
        <w:t>Sonu, Gopal Sharma, SL. Harikumar, Silvia Navis (2016) A Review on Drug-Drug &amp; Drug-Food Interactions in patients during the treatment of Diabetes Mellitus. International Journal of Pharmacology and Clinical Sciences 2016; 4(4): 98-105.</w:t>
      </w:r>
    </w:p>
    <w:p>
      <w:pPr>
        <w:pStyle w:val="ListParagraph"/>
        <w:numPr>
          <w:ilvl w:val="0"/>
          <w:numId w:val="1"/>
        </w:numPr>
        <w:tabs>
          <w:tab w:val="left" w:pos="384" w:leader="none"/>
        </w:tabs>
        <w:spacing w:lineRule="exact" w:line="216"/>
        <w:ind w:left="383" w:right="137" w:hanging="283"/>
        <w:rPr/>
      </w:pPr>
      <w:r>
        <w:rPr>
          <w:sz w:val="18"/>
        </w:rPr>
        <w:t>Sonu, Nikhil Jolly, Monica Kapoor, SL. Harikumar, Gurfateh Singh (2015) “Diabetes associated hypertension: perspective on pathogenic pathways and EGCG as a novel treatment” International Journal of Institutional Pharmacy and Life Sciences 2015; 5(5): 532-549.</w:t>
      </w:r>
    </w:p>
    <w:p>
      <w:pPr>
        <w:pStyle w:val="ListParagraph"/>
        <w:numPr>
          <w:ilvl w:val="0"/>
          <w:numId w:val="1"/>
        </w:numPr>
        <w:tabs>
          <w:tab w:val="left" w:pos="384" w:leader="none"/>
        </w:tabs>
        <w:spacing w:lineRule="exact" w:line="216"/>
        <w:ind w:left="383" w:right="138" w:hanging="283"/>
        <w:rPr/>
      </w:pPr>
      <w:r>
        <w:rPr>
          <w:sz w:val="18"/>
        </w:rPr>
        <w:t>Sonu, Gopal Sharma, SL. Harikumar (2015) Diabetes associated memory impairment: perspective on management strategies. Int J Pharma Res Rev 2015; 4(6): 45-51.</w:t>
      </w:r>
    </w:p>
    <w:p>
      <w:pPr>
        <w:pStyle w:val="ListParagraph"/>
        <w:numPr>
          <w:ilvl w:val="0"/>
          <w:numId w:val="1"/>
        </w:numPr>
        <w:tabs>
          <w:tab w:val="left" w:pos="384" w:leader="none"/>
        </w:tabs>
        <w:spacing w:lineRule="exact" w:line="218" w:before="92" w:after="0"/>
        <w:ind w:left="383" w:hanging="283"/>
        <w:rPr/>
      </w:pPr>
      <w:r>
        <w:rPr>
          <w:sz w:val="18"/>
        </w:rPr>
        <w:t>Sonu, Gopal Sharma (2015) “Comorbidity of Diabetes and Memory Impairment: Type 3 Diabetes” Int J Inst Pharm L Sci 2015; 5(3): 72-85.</w:t>
      </w:r>
    </w:p>
    <w:p>
      <w:pPr>
        <w:pStyle w:val="TextBody"/>
        <w:spacing w:lineRule="exact" w:line="216" w:before="85" w:after="0"/>
        <w:ind w:left="383" w:right="138" w:hanging="284"/>
        <w:jc w:val="both"/>
        <w:rPr/>
      </w:pPr>
      <w:r>
        <w:rPr>
          <w:rFonts w:ascii="Calibri" w:hAnsi="Calibri"/>
        </w:rPr>
        <w:t xml:space="preserve">5.   </w:t>
      </w:r>
      <w:r>
        <w:rPr>
          <w:rFonts w:ascii="Calibri" w:hAnsi="Calibri"/>
        </w:rPr>
        <w:t>Sonu, Gopal Sharma, Shahbaj Khan, Hardeep Kaur (2015) “Role of Various Mechanisms and Pathways in Diabetic neuropathy: An Overview” International Journal of Pharmaceutical Sciences Letters, 2015; 5(1): 495-500.</w:t>
      </w:r>
    </w:p>
    <w:p>
      <w:pPr>
        <w:pStyle w:val="Normal"/>
        <w:tabs>
          <w:tab w:val="left" w:pos="384" w:leader="none"/>
        </w:tabs>
        <w:ind w:right="117" w:hanging="0"/>
        <w:rPr/>
      </w:pPr>
      <w:r>
        <w:rPr/>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541" w:top="1114" w:footer="642" w:bottom="1215"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0" distL="0" distR="0">
                <wp:extent cx="5224780" cy="635"/>
                <wp:effectExtent l="0" t="0" r="0" b="0"/>
                <wp:docPr id="1" name=""/>
                <a:graphic xmlns:a="http://schemas.openxmlformats.org/drawingml/2006/main">
                  <a:graphicData uri="http://schemas.microsoft.com/office/word/2010/wordprocessingGroup">
                    <wpg:wgp>
                      <wpg:cNvGrpSpPr/>
                      <wpg:grpSpPr>
                        <a:xfrm>
                          <a:off x="0" y="0"/>
                          <a:ext cx="5224320" cy="0"/>
                        </a:xfrm>
                      </wpg:grpSpPr>
                      <wps:wsp>
                        <wps:cNvSpPr/>
                        <wps:spPr>
                          <a:xfrm>
                            <a:off x="0" y="0"/>
                            <a:ext cx="522432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pt;width:411.3pt;height:0pt" coordorigin="0,0" coordsize="8226,0">
                <v:line id="shape_0" from="0,0" to="8226,0" ID="Line 5" stroked="t" style="position:absolute">
                  <v:stroke color="#004080" weight="25560" joinstyle="round" endcap="flat"/>
                  <v:fill o:detectmouseclick="t" on="false"/>
                </v:line>
              </v:group>
            </w:pict>
          </mc:Fallback>
        </mc:AlternateContent>
      </w:r>
    </w:p>
    <w:p>
      <w:pPr>
        <w:pStyle w:val="Normal"/>
        <w:spacing w:before="92" w:after="0"/>
        <w:ind w:right="4234" w:hanging="0"/>
        <w:rPr/>
      </w:pPr>
      <w:r>
        <w:drawing>
          <wp:anchor behindDoc="0" distT="0" distB="0" distL="0" distR="0" simplePos="0" locked="0" layoutInCell="1" allowOverlap="1" relativeHeight="4">
            <wp:simplePos x="0" y="0"/>
            <wp:positionH relativeFrom="column">
              <wp:posOffset>409575</wp:posOffset>
            </wp:positionH>
            <wp:positionV relativeFrom="paragraph">
              <wp:posOffset>100965</wp:posOffset>
            </wp:positionV>
            <wp:extent cx="721360" cy="609600"/>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4"/>
                    <a:stretch>
                      <a:fillRect/>
                    </a:stretch>
                  </pic:blipFill>
                  <pic:spPr bwMode="auto">
                    <a:xfrm>
                      <a:off x="0" y="0"/>
                      <a:ext cx="721360" cy="609600"/>
                    </a:xfrm>
                    <a:prstGeom prst="rect">
                      <a:avLst/>
                    </a:prstGeom>
                  </pic:spPr>
                </pic:pic>
              </a:graphicData>
            </a:graphic>
          </wp:anchor>
        </w:drawing>
      </w:r>
      <w:r>
        <w:rPr/>
        <w:t xml:space="preserve">          </w:t>
      </w:r>
      <w:r>
        <w:rPr>
          <w:rFonts w:ascii="Arial" w:hAnsi="Arial"/>
          <w:color w:val="BF5A14"/>
        </w:rPr>
        <w:t xml:space="preserve">Biography </w:t>
      </w:r>
    </w:p>
    <w:p>
      <w:pPr>
        <w:pStyle w:val="Normal"/>
        <w:spacing w:lineRule="exact" w:line="154" w:before="41" w:after="0"/>
        <w:ind w:left="213" w:right="231" w:hanging="0"/>
        <w:jc w:val="both"/>
        <w:rPr/>
      </w:pPr>
      <w:r>
        <w:rPr>
          <w:rFonts w:ascii="Arial" w:hAnsi="Arial"/>
          <w:sz w:val="14"/>
        </w:rPr>
        <w:t>Sonu Baisoya has his expertise in the field of pharmacology, passionate for assessment, evaluation and prevention of antimicrobial resistance and to spread the awareness on drug-resistant pathogens and innovative techniques or methodologies to overcome this issue. Working on antibiotic resistance breakers (ARBs) and studying the potential roles in combating the resistance. ARBs can be a valuable tool to tackle the problem of resistance. This approach is responsive to all stakeholders and has a different way for focusing on how to combate AMR to improving the public health and well-being.</w:t>
      </w:r>
    </w:p>
    <w:p>
      <w:pPr>
        <w:pStyle w:val="Normal"/>
        <w:spacing w:before="62" w:after="0"/>
        <w:ind w:left="4217" w:right="4235" w:hanging="0"/>
        <w:jc w:val="center"/>
        <w:rPr/>
      </w:pPr>
      <w:r>
        <w:rPr>
          <w:rFonts w:ascii="Arial" w:hAnsi="Arial"/>
          <w:sz w:val="14"/>
        </w:rPr>
        <w:t xml:space="preserve">Email: </w:t>
      </w:r>
      <w:hyperlink r:id="rId5">
        <w:r>
          <w:rPr>
            <w:rStyle w:val="InternetLink"/>
            <w:rFonts w:ascii="Arial" w:hAnsi="Arial"/>
            <w:sz w:val="14"/>
          </w:rPr>
          <w:t>sonu.baisoya65@g</w:t>
        </w:r>
        <w:r>
          <w:rPr>
            <w:rStyle w:val="InternetLink"/>
            <w:rFonts w:ascii="Arial" w:hAnsi="Arial"/>
            <w:sz w:val="14"/>
          </w:rPr>
          <w:t>mail.co</w:t>
        </w:r>
        <w:r>
          <w:rPr>
            <w:rStyle w:val="InternetLink"/>
            <w:rFonts w:ascii="Arial" w:hAnsi="Arial"/>
            <w:sz w:val="14"/>
          </w:rPr>
          <w:t>m</w:t>
        </w:r>
      </w:hyperlink>
      <w:r>
        <w:rPr>
          <w:rFonts w:ascii="Arial" w:hAnsi="Arial"/>
          <w:sz w:val="14"/>
        </w:rPr>
        <w:t xml:space="preserve"> </w:t>
      </w:r>
    </w:p>
    <w:p>
      <w:pPr>
        <w:pStyle w:val="TextBody"/>
        <w:spacing w:before="2" w:after="0"/>
        <w:rPr>
          <w:rFonts w:ascii="Arial" w:hAnsi="Arial"/>
          <w:sz w:val="29"/>
        </w:rPr>
      </w:pPr>
      <w:r>
        <w:rPr>
          <w:rFonts w:ascii="Arial" w:hAnsi="Arial"/>
          <w:sz w:val="2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2970" cy="1270"/>
                <wp:effectExtent l="10795" t="6985" r="13970" b="12065"/>
                <wp:wrapTopAndBottom/>
                <wp:docPr id="3" name="Line 3"/>
                <a:graphic xmlns:a="http://schemas.openxmlformats.org/drawingml/2006/main">
                  <a:graphicData uri="http://schemas.microsoft.com/office/word/2010/wordprocessingShape">
                    <wps:wsp>
                      <wps:cNvSpPr/>
                      <wps:spPr>
                        <a:xfrm>
                          <a:off x="0" y="0"/>
                          <a:ext cx="344232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pt,13.25pt" ID="Line 3" stroked="t" style="position:absolute;mso-position-horizontal-relative:page">
                <v:stroke color="#004080" weight="6480" joinstyle="round" endcap="flat"/>
                <v:fill o:detectmouseclick="t" on="false"/>
              </v:line>
            </w:pict>
          </mc:Fallback>
        </mc:AlternateContent>
      </w:r>
    </w:p>
    <w:p>
      <w:pPr>
        <w:pStyle w:val="Normal"/>
        <w:spacing w:before="39" w:after="0"/>
        <w:ind w:left="100" w:hanging="0"/>
        <w:rPr/>
      </w:pPr>
      <w:r>
        <w:rPr>
          <w:rFonts w:ascii="Minion Pro" w:hAnsi="Minion Pro"/>
          <w:b/>
          <w:sz w:val="20"/>
        </w:rPr>
        <w:t xml:space="preserve">Notes/Comments: </w:t>
      </w:r>
      <w:r>
        <w:rPr>
          <w:rFonts w:ascii="Minion Pro" w:hAnsi="Minion Pro"/>
          <w:b w:val="false"/>
          <w:bCs w:val="false"/>
          <w:sz w:val="18"/>
          <w:szCs w:val="18"/>
        </w:rPr>
        <w:t>None</w:t>
      </w:r>
    </w:p>
    <w:p>
      <w:pPr>
        <w:sectPr>
          <w:type w:val="continuous"/>
          <w:pgSz w:w="11906" w:h="16838"/>
          <w:pgMar w:left="620" w:right="600" w:header="541" w:top="1114" w:footer="642" w:bottom="1215" w:gutter="0"/>
          <w:formProt w:val="false"/>
          <w:textDirection w:val="lrTb"/>
          <w:docGrid w:type="default" w:linePitch="600" w:charSpace="36864"/>
        </w:sectPr>
      </w:pPr>
    </w:p>
    <w:sectPr>
      <w:type w:val="continuous"/>
      <w:pgSz w:w="11906" w:h="16838"/>
      <w:pgMar w:left="620" w:right="600" w:header="541" w:top="1114" w:footer="642" w:bottom="1215"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eastAsia="Calibri" w:cs="Calibri"/>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auto"/>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paragraph" w:styleId="Heading">
    <w:name w:val="Heading"/>
    <w:basedOn w:val="Normal"/>
    <w:next w:val="TextBody"/>
    <w:qFormat/>
    <w:pPr>
      <w:keepNext/>
      <w:spacing w:before="240" w:after="120"/>
    </w:pPr>
    <w:rPr>
      <w:rFonts w:ascii="Liberation Sans" w:hAnsi="Liberation Sans" w:eastAsia="Droid Sans Fallback" w:cs="Droid Sans Devanagari"/>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png"/><Relationship Id="rId5" Type="http://schemas.openxmlformats.org/officeDocument/2006/relationships/hyperlink" Target="mailto:sonu.baisoya65@gmail.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LibreOffice/5.2.5.1$Linux_X86_64 LibreOffice_project/20m0$Build-1</Application>
  <Pages>1</Pages>
  <Words>547</Words>
  <Characters>3228</Characters>
  <CharactersWithSpaces>3776</CharactersWithSpaces>
  <Paragraphs>16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dc:description/>
  <dc:language>en-US</dc:language>
  <cp:lastModifiedBy/>
  <dcterms:modified xsi:type="dcterms:W3CDTF">2018-04-25T12:37:30Z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