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550AE" w:rsidP="00494130">
      <w:pPr>
        <w:pStyle w:val="Ttulo1"/>
        <w:spacing w:before="170"/>
        <w:ind w:left="0"/>
      </w:pPr>
      <w:r w:rsidRPr="00F550AE">
        <w:rPr>
          <w:color w:val="337AB7"/>
        </w:rPr>
        <w:t>Antimicrobial Use in Aquaculture: patterns and current knowledge on its contribution to the emergence and spread of antimicrobial resistance</w:t>
      </w:r>
    </w:p>
    <w:p w:rsidR="00F550AE" w:rsidRDefault="00F550AE" w:rsidP="00F550AE">
      <w:pPr>
        <w:pStyle w:val="Corpodetexto"/>
        <w:spacing w:before="73" w:line="198" w:lineRule="exact"/>
        <w:ind w:left="100" w:right="58"/>
        <w:rPr>
          <w:rFonts w:ascii="Arial"/>
        </w:rPr>
      </w:pPr>
      <w:r>
        <w:rPr>
          <w:rFonts w:ascii="Arial"/>
        </w:rPr>
        <w:t>L</w:t>
      </w:r>
      <w:r>
        <w:rPr>
          <w:rFonts w:ascii="Arial"/>
        </w:rPr>
        <w:t>ú</w:t>
      </w:r>
      <w:r>
        <w:rPr>
          <w:rFonts w:ascii="Arial"/>
        </w:rPr>
        <w:t xml:space="preserve">cia Santos, PharmD, </w:t>
      </w:r>
      <w:proofErr w:type="spellStart"/>
      <w:r>
        <w:rPr>
          <w:rFonts w:ascii="Arial"/>
        </w:rPr>
        <w:t>MsD</w:t>
      </w:r>
      <w:proofErr w:type="spellEnd"/>
      <w:r>
        <w:rPr>
          <w:rFonts w:ascii="Arial"/>
        </w:rPr>
        <w:t xml:space="preserve">, </w:t>
      </w:r>
      <w:r w:rsidRPr="00F550AE">
        <w:rPr>
          <w:rFonts w:ascii="Arial"/>
        </w:rPr>
        <w:t xml:space="preserve">REQUIMTE/LAQV, </w:t>
      </w:r>
      <w:r>
        <w:rPr>
          <w:rFonts w:ascii="Arial"/>
        </w:rPr>
        <w:t>P</w:t>
      </w:r>
      <w:r w:rsidRPr="00F550AE">
        <w:rPr>
          <w:rFonts w:ascii="Arial"/>
        </w:rPr>
        <w:t>harmacy Faculty, University of Coimbra</w:t>
      </w:r>
    </w:p>
    <w:p w:rsidR="005973B9" w:rsidRDefault="00F550AE" w:rsidP="00F550AE">
      <w:pPr>
        <w:pStyle w:val="Corpodetexto"/>
        <w:spacing w:before="73" w:line="198" w:lineRule="exact"/>
        <w:ind w:left="100" w:right="58"/>
        <w:rPr>
          <w:rFonts w:ascii="Arial"/>
        </w:rPr>
      </w:pPr>
      <w:r>
        <w:rPr>
          <w:rFonts w:ascii="Arial"/>
        </w:rPr>
        <w:t xml:space="preserve">Fernando Ramos, PhD, Associate Professor, </w:t>
      </w:r>
      <w:r w:rsidRPr="00F550AE">
        <w:rPr>
          <w:rFonts w:ascii="Arial"/>
        </w:rPr>
        <w:t xml:space="preserve">REQUIMTE/LAQV, </w:t>
      </w:r>
      <w:r>
        <w:rPr>
          <w:rFonts w:ascii="Arial"/>
        </w:rPr>
        <w:t>P</w:t>
      </w:r>
      <w:r w:rsidRPr="00F550AE">
        <w:rPr>
          <w:rFonts w:ascii="Arial"/>
        </w:rPr>
        <w:t>harmacy Faculty, University of Coimbra</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Cabealho3"/>
        <w:spacing w:before="147"/>
        <w:jc w:val="both"/>
      </w:pPr>
      <w:r>
        <w:rPr>
          <w:color w:val="BF5A14"/>
        </w:rPr>
        <w:t>Abstract</w:t>
      </w:r>
    </w:p>
    <w:p w:rsidR="00AE3E37" w:rsidRDefault="00F550AE">
      <w:pPr>
        <w:pStyle w:val="Corpodetexto"/>
        <w:spacing w:before="90" w:line="280" w:lineRule="auto"/>
        <w:ind w:left="100"/>
        <w:jc w:val="both"/>
      </w:pPr>
      <w:r w:rsidRPr="00F550AE">
        <w:t>Aquaculture is a fast-growing industry accounting nowadays for almost half of the fish supplies for human consumption, worldwide. The intensive and semi-intensive practices used to produce large stocks of fish, in small spaces, originate frequent disease outbreaks and, to control it, the use of antimicrobials, for prophylactic and therapeutic purposes, is a customary practice. The selective pressure exerted by these drugs – usually present in sub-therapeutic doses for prolonged periods, in water and sediments – represent the ideal framework for the emergence and selection of resistant bacterial strains, promoting and stimulating horizontal gene transfer. Passage of antimicrobial resistant genes and antimicrobial-resistant bacteria from aquatic to terrestrial animal husbandry and to human environments, and vice versa, with detrimental e</w:t>
      </w:r>
      <w:r w:rsidRPr="00F550AE">
        <w:rPr>
          <w:rFonts w:ascii="Arial" w:hAnsi="Arial" w:cs="Arial"/>
        </w:rPr>
        <w:t>ﬀ</w:t>
      </w:r>
      <w:r w:rsidRPr="00F550AE">
        <w:t xml:space="preserve">ects on both human and animal health, </w:t>
      </w:r>
      <w:proofErr w:type="gramStart"/>
      <w:r w:rsidRPr="00F550AE">
        <w:t>and also</w:t>
      </w:r>
      <w:proofErr w:type="gramEnd"/>
      <w:r w:rsidRPr="00F550AE">
        <w:t xml:space="preserve"> in aquatic ecosystem, is now largely </w:t>
      </w:r>
      <w:proofErr w:type="spellStart"/>
      <w:r w:rsidRPr="00F550AE">
        <w:t>recognised</w:t>
      </w:r>
      <w:proofErr w:type="spellEnd"/>
      <w:r w:rsidRPr="00F550AE">
        <w:t xml:space="preserve">. A global effort must be developed </w:t>
      </w:r>
      <w:proofErr w:type="gramStart"/>
      <w:r w:rsidRPr="00F550AE">
        <w:t>in order to</w:t>
      </w:r>
      <w:proofErr w:type="gramEnd"/>
      <w:r w:rsidRPr="00F550AE">
        <w:t xml:space="preserve"> cease antimicrobial overuse in aquaculture, encouraging stakeholders to adopt other disease preventive measures, such as adequate hygiene standards, vaccines or probiotics, among others. Shaping a new path is crucial, </w:t>
      </w:r>
      <w:proofErr w:type="gramStart"/>
      <w:r w:rsidRPr="00F550AE">
        <w:t>in order to</w:t>
      </w:r>
      <w:proofErr w:type="gramEnd"/>
      <w:r w:rsidRPr="00F550AE">
        <w:t xml:space="preserve"> contain the increasing threat of antimicrobial resistance.</w:t>
      </w:r>
    </w:p>
    <w:p w:rsidR="00F550AE" w:rsidRDefault="00F550AE">
      <w:pPr>
        <w:pStyle w:val="Corpodetexto"/>
        <w:spacing w:before="90" w:line="280" w:lineRule="auto"/>
        <w:ind w:left="100"/>
        <w:jc w:val="both"/>
      </w:pPr>
      <w:r w:rsidRPr="00F550AE">
        <w:t>Being</w:t>
      </w:r>
      <w:r>
        <w:t xml:space="preserve"> </w:t>
      </w:r>
      <w:r>
        <w:t>antimicrobial resistance</w:t>
      </w:r>
      <w:r w:rsidRPr="00F550AE">
        <w:t xml:space="preserve"> </w:t>
      </w:r>
      <w:r w:rsidRPr="00F550AE">
        <w:t>a global ecological event,</w:t>
      </w:r>
      <w:r>
        <w:t xml:space="preserve"> </w:t>
      </w:r>
      <w:r w:rsidRPr="00F550AE">
        <w:t>the One Health strategy is the most appropriate way to address and tackle it. As postulated by One Health principle we must recognize that human, animal and environmental health are interconnected, that diseases are transmitted from humans to animals, and vice versa, and must therefore be tackled in both.</w:t>
      </w:r>
    </w:p>
    <w:p w:rsidR="00AE3E37" w:rsidRDefault="00A9710C" w:rsidP="00E534CA">
      <w:pPr>
        <w:pStyle w:val="Cabealho3"/>
        <w:spacing w:before="74"/>
        <w:rPr>
          <w:b w:val="0"/>
          <w:sz w:val="16"/>
        </w:rPr>
      </w:pPr>
      <w:r>
        <w:rPr>
          <w:b w:val="0"/>
        </w:rPr>
        <w:br w:type="column"/>
      </w:r>
      <w:r w:rsidR="00E534CA">
        <w:rPr>
          <w:noProof/>
        </w:rPr>
        <w:drawing>
          <wp:inline distT="0" distB="0" distL="0" distR="0">
            <wp:extent cx="3506745" cy="2430780"/>
            <wp:effectExtent l="0" t="0" r="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1936" cy="2434379"/>
                    </a:xfrm>
                    <a:prstGeom prst="rect">
                      <a:avLst/>
                    </a:prstGeom>
                    <a:noFill/>
                    <a:ln>
                      <a:noFill/>
                    </a:ln>
                  </pic:spPr>
                </pic:pic>
              </a:graphicData>
            </a:graphic>
          </wp:inline>
        </w:drawing>
      </w:r>
    </w:p>
    <w:p w:rsidR="00E534CA" w:rsidRDefault="00E534CA" w:rsidP="005973B9">
      <w:pPr>
        <w:spacing w:line="204" w:lineRule="exact"/>
        <w:rPr>
          <w:rFonts w:ascii="Arial"/>
          <w:b/>
          <w:color w:val="BF5A14"/>
          <w:sz w:val="20"/>
        </w:rPr>
      </w:pPr>
    </w:p>
    <w:p w:rsidR="005973B9" w:rsidRDefault="005973B9" w:rsidP="00E534CA">
      <w:pPr>
        <w:spacing w:line="204" w:lineRule="exact"/>
        <w:ind w:firstLine="100"/>
        <w:rPr>
          <w:rFonts w:ascii="Arial"/>
          <w:b/>
          <w:sz w:val="20"/>
        </w:rPr>
      </w:pPr>
      <w:r>
        <w:rPr>
          <w:rFonts w:ascii="Arial"/>
          <w:b/>
          <w:color w:val="BF5A14"/>
          <w:sz w:val="20"/>
        </w:rPr>
        <w:t>Recent Publications</w:t>
      </w:r>
    </w:p>
    <w:p w:rsidR="00E93DDB" w:rsidRDefault="00E534CA" w:rsidP="00E93DDB">
      <w:pPr>
        <w:pStyle w:val="PargrafodaLista"/>
        <w:numPr>
          <w:ilvl w:val="0"/>
          <w:numId w:val="3"/>
        </w:numPr>
        <w:tabs>
          <w:tab w:val="left" w:pos="384"/>
        </w:tabs>
        <w:spacing w:before="103" w:line="216" w:lineRule="exact"/>
        <w:ind w:right="137"/>
        <w:rPr>
          <w:sz w:val="18"/>
        </w:rPr>
      </w:pPr>
      <w:r w:rsidRPr="00A74377">
        <w:rPr>
          <w:sz w:val="18"/>
          <w:u w:val="single"/>
          <w:lang w:val="en-GB"/>
        </w:rPr>
        <w:t>Santos</w:t>
      </w:r>
      <w:r w:rsidRPr="00E93DDB">
        <w:rPr>
          <w:sz w:val="18"/>
          <w:lang w:val="en-GB"/>
        </w:rPr>
        <w:t xml:space="preserve"> L, Barbosa J, Castilho MC, Ramos F, Ribeiro C, </w:t>
      </w:r>
      <w:proofErr w:type="spellStart"/>
      <w:r w:rsidRPr="00E93DDB">
        <w:rPr>
          <w:sz w:val="18"/>
          <w:lang w:val="en-GB"/>
        </w:rPr>
        <w:t>Silbeira</w:t>
      </w:r>
      <w:proofErr w:type="spellEnd"/>
      <w:r w:rsidRPr="00E93DDB">
        <w:rPr>
          <w:sz w:val="18"/>
          <w:lang w:val="en-GB"/>
        </w:rPr>
        <w:t xml:space="preserve"> MI</w:t>
      </w:r>
      <w:r w:rsidR="00E93DDB">
        <w:rPr>
          <w:sz w:val="18"/>
          <w:lang w:val="en-GB"/>
        </w:rPr>
        <w:t xml:space="preserve"> </w:t>
      </w:r>
      <w:r w:rsidR="005973B9" w:rsidRPr="00E93DDB">
        <w:rPr>
          <w:sz w:val="18"/>
          <w:lang w:val="en-GB"/>
        </w:rPr>
        <w:t>(200</w:t>
      </w:r>
      <w:r w:rsidRPr="00E93DDB">
        <w:rPr>
          <w:sz w:val="18"/>
          <w:lang w:val="en-GB"/>
        </w:rPr>
        <w:t>5</w:t>
      </w:r>
      <w:r w:rsidR="005973B9" w:rsidRPr="00E93DDB">
        <w:rPr>
          <w:sz w:val="18"/>
          <w:lang w:val="en-GB"/>
        </w:rPr>
        <w:t xml:space="preserve">) </w:t>
      </w:r>
      <w:r w:rsidRPr="00E93DDB">
        <w:rPr>
          <w:sz w:val="18"/>
          <w:lang w:val="en-GB"/>
        </w:rPr>
        <w:t xml:space="preserve">Determination of chloramphenicol residues in rainbow </w:t>
      </w:r>
      <w:proofErr w:type="spellStart"/>
      <w:r w:rsidRPr="00E93DDB">
        <w:rPr>
          <w:sz w:val="18"/>
          <w:lang w:val="en-GB"/>
        </w:rPr>
        <w:t>trouts</w:t>
      </w:r>
      <w:proofErr w:type="spellEnd"/>
      <w:r w:rsidRPr="00E93DDB">
        <w:rPr>
          <w:sz w:val="18"/>
          <w:lang w:val="en-GB"/>
        </w:rPr>
        <w:t xml:space="preserve"> </w:t>
      </w:r>
      <w:r w:rsidRPr="00E93DDB">
        <w:rPr>
          <w:sz w:val="18"/>
          <w:lang w:val="en-GB"/>
        </w:rPr>
        <w:t xml:space="preserve">by gas chromatography–mass </w:t>
      </w:r>
      <w:proofErr w:type="spellStart"/>
      <w:r w:rsidRPr="00E93DDB">
        <w:rPr>
          <w:sz w:val="18"/>
          <w:lang w:val="en-GB"/>
        </w:rPr>
        <w:t>spectometry</w:t>
      </w:r>
      <w:proofErr w:type="spellEnd"/>
      <w:r w:rsidRPr="00E93DDB">
        <w:rPr>
          <w:sz w:val="18"/>
          <w:lang w:val="en-GB"/>
        </w:rPr>
        <w:t xml:space="preserve"> and liquid</w:t>
      </w:r>
      <w:r w:rsidR="00E93DDB" w:rsidRPr="00E93DDB">
        <w:rPr>
          <w:sz w:val="18"/>
          <w:lang w:val="en-GB"/>
        </w:rPr>
        <w:t xml:space="preserve"> </w:t>
      </w:r>
      <w:r w:rsidRPr="00E93DDB">
        <w:rPr>
          <w:sz w:val="18"/>
          <w:lang w:val="en-GB"/>
        </w:rPr>
        <w:t xml:space="preserve">chromatography–tandem mass </w:t>
      </w:r>
      <w:r w:rsidR="00E93DDB">
        <w:rPr>
          <w:sz w:val="18"/>
          <w:lang w:val="en-GB"/>
        </w:rPr>
        <w:t xml:space="preserve">spectrometry. </w:t>
      </w:r>
      <w:r w:rsidR="00E93DDB" w:rsidRPr="00E93DDB">
        <w:rPr>
          <w:sz w:val="18"/>
        </w:rPr>
        <w:t xml:space="preserve">Analytica </w:t>
      </w:r>
      <w:proofErr w:type="spellStart"/>
      <w:r w:rsidR="00E93DDB" w:rsidRPr="00E93DDB">
        <w:rPr>
          <w:sz w:val="18"/>
        </w:rPr>
        <w:t>Chimica</w:t>
      </w:r>
      <w:proofErr w:type="spellEnd"/>
      <w:r w:rsidR="00E93DDB" w:rsidRPr="00E93DDB">
        <w:rPr>
          <w:sz w:val="18"/>
        </w:rPr>
        <w:t xml:space="preserve"> Acta 529</w:t>
      </w:r>
      <w:r w:rsidR="00E93DDB">
        <w:rPr>
          <w:sz w:val="18"/>
        </w:rPr>
        <w:t xml:space="preserve">: </w:t>
      </w:r>
      <w:r w:rsidR="00E93DDB" w:rsidRPr="00E93DDB">
        <w:rPr>
          <w:sz w:val="18"/>
        </w:rPr>
        <w:t>249</w:t>
      </w:r>
      <w:r w:rsidR="00E93DDB">
        <w:rPr>
          <w:sz w:val="18"/>
        </w:rPr>
        <w:t>-</w:t>
      </w:r>
      <w:r w:rsidR="00E93DDB" w:rsidRPr="00E93DDB">
        <w:rPr>
          <w:sz w:val="18"/>
        </w:rPr>
        <w:t>256</w:t>
      </w:r>
    </w:p>
    <w:p w:rsidR="005973B9" w:rsidRPr="00E93DDB" w:rsidRDefault="00E93DDB" w:rsidP="00E93DDB">
      <w:pPr>
        <w:pStyle w:val="PargrafodaLista"/>
        <w:numPr>
          <w:ilvl w:val="0"/>
          <w:numId w:val="3"/>
        </w:numPr>
        <w:tabs>
          <w:tab w:val="left" w:pos="384"/>
        </w:tabs>
        <w:spacing w:before="103" w:line="216" w:lineRule="exact"/>
        <w:ind w:right="137"/>
        <w:rPr>
          <w:sz w:val="18"/>
        </w:rPr>
      </w:pPr>
      <w:r w:rsidRPr="00A74377">
        <w:rPr>
          <w:sz w:val="18"/>
          <w:u w:val="single"/>
        </w:rPr>
        <w:t>Santos</w:t>
      </w:r>
      <w:r>
        <w:rPr>
          <w:sz w:val="18"/>
        </w:rPr>
        <w:t xml:space="preserve"> L and Ramos F</w:t>
      </w:r>
      <w:r w:rsidR="005973B9" w:rsidRPr="00E93DDB">
        <w:rPr>
          <w:sz w:val="18"/>
        </w:rPr>
        <w:t xml:space="preserve"> (2006) </w:t>
      </w:r>
      <w:r w:rsidRPr="00E93DDB">
        <w:rPr>
          <w:sz w:val="18"/>
        </w:rPr>
        <w:t>Analytical Methodologies for Chloramphenicol Residues Determination in Food Matrixes: A Brief Review</w:t>
      </w:r>
      <w:r w:rsidR="005973B9" w:rsidRPr="00E93DDB">
        <w:rPr>
          <w:sz w:val="18"/>
        </w:rPr>
        <w:t xml:space="preserve">. </w:t>
      </w:r>
      <w:r w:rsidRPr="00E93DDB">
        <w:rPr>
          <w:sz w:val="18"/>
        </w:rPr>
        <w:t>Current Pharmaceutical Analysis 2</w:t>
      </w:r>
      <w:r>
        <w:rPr>
          <w:sz w:val="18"/>
        </w:rPr>
        <w:t xml:space="preserve">: </w:t>
      </w:r>
      <w:r w:rsidRPr="00E93DDB">
        <w:rPr>
          <w:sz w:val="18"/>
        </w:rPr>
        <w:t>53-57</w:t>
      </w:r>
      <w:r w:rsidR="005973B9" w:rsidRPr="00E93DDB">
        <w:rPr>
          <w:sz w:val="18"/>
        </w:rPr>
        <w:t>.</w:t>
      </w:r>
    </w:p>
    <w:p w:rsidR="00E93DDB" w:rsidRDefault="00E93DDB" w:rsidP="00E93DDB">
      <w:pPr>
        <w:pStyle w:val="PargrafodaLista"/>
        <w:numPr>
          <w:ilvl w:val="0"/>
          <w:numId w:val="3"/>
        </w:numPr>
        <w:tabs>
          <w:tab w:val="left" w:pos="384"/>
        </w:tabs>
        <w:spacing w:before="92" w:line="218" w:lineRule="exact"/>
        <w:ind w:right="138"/>
        <w:rPr>
          <w:sz w:val="18"/>
        </w:rPr>
      </w:pPr>
      <w:r w:rsidRPr="00A74377">
        <w:rPr>
          <w:sz w:val="18"/>
          <w:u w:val="single"/>
        </w:rPr>
        <w:t>Santos</w:t>
      </w:r>
      <w:r w:rsidRPr="00E93DDB">
        <w:rPr>
          <w:sz w:val="18"/>
        </w:rPr>
        <w:t xml:space="preserve"> L, Soares B, Rosa J, Freitas A, Leston S, Barbosa J, Ramos F (2016) Detection and Quantification of 41 Antibiotic Residues in Gilthead Sea</w:t>
      </w:r>
      <w:r>
        <w:rPr>
          <w:sz w:val="18"/>
        </w:rPr>
        <w:t xml:space="preserve"> </w:t>
      </w:r>
      <w:r w:rsidRPr="00E93DDB">
        <w:rPr>
          <w:sz w:val="18"/>
        </w:rPr>
        <w:t>Bream (</w:t>
      </w:r>
      <w:proofErr w:type="spellStart"/>
      <w:r w:rsidRPr="00E93DDB">
        <w:rPr>
          <w:i/>
          <w:sz w:val="18"/>
        </w:rPr>
        <w:t>Sparus</w:t>
      </w:r>
      <w:proofErr w:type="spellEnd"/>
      <w:r w:rsidRPr="00E93DDB">
        <w:rPr>
          <w:i/>
          <w:sz w:val="18"/>
        </w:rPr>
        <w:t xml:space="preserve"> </w:t>
      </w:r>
      <w:proofErr w:type="spellStart"/>
      <w:r w:rsidRPr="00E93DDB">
        <w:rPr>
          <w:i/>
          <w:sz w:val="18"/>
        </w:rPr>
        <w:t>aurata</w:t>
      </w:r>
      <w:proofErr w:type="spellEnd"/>
      <w:r w:rsidRPr="00E93DDB">
        <w:rPr>
          <w:sz w:val="18"/>
        </w:rPr>
        <w:t>) From Aquaculture Origin Using a Multiclass and Multi-residue UHPLC-MS/MS Method</w:t>
      </w:r>
      <w:r w:rsidR="005973B9" w:rsidRPr="00E93DDB">
        <w:rPr>
          <w:sz w:val="18"/>
        </w:rPr>
        <w:t xml:space="preserve">. </w:t>
      </w:r>
      <w:r w:rsidRPr="00E93DDB">
        <w:rPr>
          <w:sz w:val="18"/>
        </w:rPr>
        <w:t>Food Anal. Methods</w:t>
      </w:r>
      <w:r>
        <w:rPr>
          <w:sz w:val="18"/>
        </w:rPr>
        <w:t xml:space="preserve"> </w:t>
      </w:r>
      <w:r w:rsidRPr="00E93DDB">
        <w:rPr>
          <w:sz w:val="18"/>
        </w:rPr>
        <w:t>9:2749–2753</w:t>
      </w:r>
      <w:r>
        <w:rPr>
          <w:sz w:val="18"/>
        </w:rPr>
        <w:t>.</w:t>
      </w:r>
    </w:p>
    <w:p w:rsidR="005973B9" w:rsidRPr="00E93DDB" w:rsidRDefault="00E93DDB" w:rsidP="00E93DDB">
      <w:pPr>
        <w:pStyle w:val="PargrafodaLista"/>
        <w:numPr>
          <w:ilvl w:val="0"/>
          <w:numId w:val="3"/>
        </w:numPr>
        <w:tabs>
          <w:tab w:val="left" w:pos="384"/>
        </w:tabs>
        <w:spacing w:before="92" w:line="218" w:lineRule="exact"/>
        <w:ind w:right="138"/>
      </w:pPr>
      <w:r w:rsidRPr="00A74377">
        <w:rPr>
          <w:sz w:val="18"/>
          <w:u w:val="single"/>
        </w:rPr>
        <w:t>Santos</w:t>
      </w:r>
      <w:r w:rsidRPr="00E93DDB">
        <w:rPr>
          <w:sz w:val="18"/>
        </w:rPr>
        <w:t xml:space="preserve"> L, Ramos F</w:t>
      </w:r>
      <w:r w:rsidR="005973B9" w:rsidRPr="00E93DDB">
        <w:rPr>
          <w:sz w:val="18"/>
        </w:rPr>
        <w:t xml:space="preserve"> (20</w:t>
      </w:r>
      <w:r w:rsidRPr="00E93DDB">
        <w:rPr>
          <w:sz w:val="18"/>
        </w:rPr>
        <w:t>16</w:t>
      </w:r>
      <w:r w:rsidR="005973B9" w:rsidRPr="00E93DDB">
        <w:rPr>
          <w:sz w:val="18"/>
        </w:rPr>
        <w:t xml:space="preserve">) </w:t>
      </w:r>
      <w:r w:rsidRPr="00E93DDB">
        <w:rPr>
          <w:sz w:val="18"/>
        </w:rPr>
        <w:t>Analytical strategies for the detection and quantification of antibiotic</w:t>
      </w:r>
      <w:r w:rsidRPr="00E93DDB">
        <w:rPr>
          <w:sz w:val="18"/>
        </w:rPr>
        <w:t xml:space="preserve"> </w:t>
      </w:r>
      <w:r w:rsidRPr="00E93DDB">
        <w:rPr>
          <w:sz w:val="18"/>
        </w:rPr>
        <w:t>residues in aquaculture fishes: A review</w:t>
      </w:r>
      <w:r w:rsidR="005973B9" w:rsidRPr="00E93DDB">
        <w:rPr>
          <w:sz w:val="18"/>
        </w:rPr>
        <w:t xml:space="preserve">. </w:t>
      </w:r>
      <w:r w:rsidRPr="00E93DDB">
        <w:rPr>
          <w:sz w:val="18"/>
        </w:rPr>
        <w:t>Trends in Food Science &amp; Technology 52</w:t>
      </w:r>
      <w:r>
        <w:rPr>
          <w:sz w:val="18"/>
        </w:rPr>
        <w:t>: 16-30.</w:t>
      </w:r>
    </w:p>
    <w:p w:rsidR="00AE3E37" w:rsidRDefault="005973B9" w:rsidP="00A74377">
      <w:pPr>
        <w:pStyle w:val="Corpodetexto"/>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E93DDB">
        <w:rPr>
          <w:rFonts w:ascii="Calibri" w:hAnsi="Calibri"/>
        </w:rPr>
        <w:t xml:space="preserve">Ramos F, </w:t>
      </w:r>
      <w:r w:rsidR="00E93DDB" w:rsidRPr="00A74377">
        <w:rPr>
          <w:rFonts w:ascii="Calibri" w:hAnsi="Calibri"/>
          <w:u w:val="single"/>
        </w:rPr>
        <w:t>Santos</w:t>
      </w:r>
      <w:r w:rsidR="00E93DDB">
        <w:rPr>
          <w:rFonts w:ascii="Calibri" w:hAnsi="Calibri"/>
        </w:rPr>
        <w:t xml:space="preserve"> L, Barbosa J</w:t>
      </w:r>
      <w:r>
        <w:rPr>
          <w:rFonts w:ascii="Calibri" w:hAnsi="Calibri"/>
        </w:rPr>
        <w:t xml:space="preserve"> (20</w:t>
      </w:r>
      <w:r w:rsidR="00E93DDB">
        <w:rPr>
          <w:rFonts w:ascii="Calibri" w:hAnsi="Calibri"/>
        </w:rPr>
        <w:t>17</w:t>
      </w:r>
      <w:r>
        <w:rPr>
          <w:rFonts w:ascii="Calibri" w:hAnsi="Calibri"/>
        </w:rPr>
        <w:t xml:space="preserve">) </w:t>
      </w:r>
      <w:r w:rsidR="00E93DDB" w:rsidRPr="00E93DDB">
        <w:rPr>
          <w:rFonts w:ascii="Calibri" w:hAnsi="Calibri"/>
        </w:rPr>
        <w:t>Nitrofuran Veterinary Drug Residues in Chicken Eggs</w:t>
      </w:r>
      <w:r>
        <w:rPr>
          <w:rFonts w:ascii="Calibri" w:hAnsi="Calibri"/>
          <w:spacing w:val="-4"/>
        </w:rPr>
        <w:t>.</w:t>
      </w:r>
      <w:r w:rsidR="00A74377">
        <w:rPr>
          <w:rFonts w:ascii="Calibri" w:hAnsi="Calibri"/>
          <w:spacing w:val="-4"/>
        </w:rPr>
        <w:t xml:space="preserve"> </w:t>
      </w:r>
      <w:r w:rsidR="00A74377" w:rsidRPr="00A74377">
        <w:rPr>
          <w:rFonts w:ascii="Calibri" w:hAnsi="Calibri"/>
          <w:spacing w:val="-4"/>
        </w:rPr>
        <w:t>In: Patricia Hester, editors: Egg Innovation and Strategies for Improvement, Oxford: Academic Press; 2017, p. 457464</w:t>
      </w:r>
      <w:r w:rsidR="008756E6">
        <w:rPr>
          <w:rFonts w:ascii="Calibri" w:hAnsi="Calibri"/>
        </w:rPr>
        <w:t xml:space="preserve">   </w:t>
      </w:r>
    </w:p>
    <w:p w:rsidR="00AE3E37" w:rsidRDefault="00370C64">
      <w:pPr>
        <w:pStyle w:val="Corpodetexto"/>
        <w:rPr>
          <w:rFonts w:ascii="Calibri"/>
          <w:sz w:val="20"/>
        </w:rPr>
      </w:pPr>
      <w:r>
        <w:rPr>
          <w:noProof/>
        </w:rPr>
        <mc:AlternateContent>
          <mc:Choice Requires="wps">
            <w:drawing>
              <wp:anchor distT="0" distB="0" distL="114300" distR="114300" simplePos="0" relativeHeight="251659776" behindDoc="0" locked="0" layoutInCell="1" allowOverlap="1">
                <wp:simplePos x="0" y="0"/>
                <wp:positionH relativeFrom="column">
                  <wp:posOffset>48260</wp:posOffset>
                </wp:positionH>
                <wp:positionV relativeFrom="paragraph">
                  <wp:posOffset>36195</wp:posOffset>
                </wp:positionV>
                <wp:extent cx="838200" cy="1097280"/>
                <wp:effectExtent l="0" t="0" r="0" b="7620"/>
                <wp:wrapNone/>
                <wp:docPr id="12" name="Caixa de texto 12"/>
                <wp:cNvGraphicFramePr/>
                <a:graphic xmlns:a="http://schemas.openxmlformats.org/drawingml/2006/main">
                  <a:graphicData uri="http://schemas.microsoft.com/office/word/2010/wordprocessingShape">
                    <wps:wsp>
                      <wps:cNvSpPr txBox="1"/>
                      <wps:spPr>
                        <a:xfrm>
                          <a:off x="0" y="0"/>
                          <a:ext cx="838200" cy="1097280"/>
                        </a:xfrm>
                        <a:prstGeom prst="rect">
                          <a:avLst/>
                        </a:prstGeom>
                        <a:solidFill>
                          <a:schemeClr val="lt1"/>
                        </a:solidFill>
                        <a:ln w="6350">
                          <a:noFill/>
                        </a:ln>
                      </wps:spPr>
                      <wps:txbx>
                        <w:txbxContent>
                          <w:p w:rsidR="00A74377" w:rsidRDefault="00A74377">
                            <w:r w:rsidRPr="00A74377">
                              <w:drawing>
                                <wp:inline distT="0" distB="0" distL="0" distR="0">
                                  <wp:extent cx="696193" cy="985520"/>
                                  <wp:effectExtent l="0" t="0" r="8890" b="508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724" cy="9933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12" o:spid="_x0000_s1026" type="#_x0000_t202" style="position:absolute;margin-left:3.8pt;margin-top:2.85pt;width:66pt;height:86.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" fillcolor="white [3201]" stroked="f" strokeweight=".5pt">
                <v:textbox>
                  <w:txbxContent>
                    <w:p w:rsidR="00A74377" w:rsidRDefault="00A74377">
                      <w:r w:rsidRPr="00A74377">
                        <w:drawing>
                          <wp:inline distT="0" distB="0" distL="0" distR="0">
                            <wp:extent cx="696193" cy="985520"/>
                            <wp:effectExtent l="0" t="0" r="8890" b="508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724" cy="993349"/>
                                    </a:xfrm>
                                    <a:prstGeom prst="rect">
                                      <a:avLst/>
                                    </a:prstGeom>
                                    <a:noFill/>
                                    <a:ln>
                                      <a:noFill/>
                                    </a:ln>
                                  </pic:spPr>
                                </pic:pic>
                              </a:graphicData>
                            </a:graphic>
                          </wp:inline>
                        </w:drawing>
                      </w:r>
                    </w:p>
                  </w:txbxContent>
                </v:textbox>
              </v:shape>
            </w:pict>
          </mc:Fallback>
        </mc:AlternateContent>
      </w: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9796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A74377">
      <w:pPr>
        <w:spacing w:before="92"/>
        <w:ind w:right="4234"/>
        <w:rPr>
          <w:rFonts w:ascii="Arial"/>
          <w:color w:val="BF5A14"/>
        </w:rPr>
      </w:pPr>
      <w:r>
        <w:rPr>
          <w:noProof/>
        </w:rPr>
        <w:t xml:space="preserve">    </w:t>
      </w:r>
      <w:r w:rsidR="00A74377">
        <w:rPr>
          <w:noProof/>
          <w:lang w:val="en-IN" w:eastAsia="en-IN"/>
        </w:rPr>
        <w:tab/>
      </w:r>
      <w:r w:rsidR="00A74377">
        <w:rPr>
          <w:noProof/>
          <w:lang w:val="en-IN" w:eastAsia="en-IN"/>
        </w:rPr>
        <w:tab/>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74377" w:rsidRDefault="00370C64" w:rsidP="00A74377">
      <w:pPr>
        <w:spacing w:before="92"/>
        <w:ind w:right="4234"/>
        <w:rPr>
          <w:noProof/>
          <w:lang w:val="en-IN" w:eastAsia="en-IN"/>
        </w:rPr>
      </w:pPr>
      <w:r>
        <w:rPr>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886460</wp:posOffset>
                </wp:positionH>
                <wp:positionV relativeFrom="paragraph">
                  <wp:posOffset>27305</wp:posOffset>
                </wp:positionV>
                <wp:extent cx="5562600" cy="708660"/>
                <wp:effectExtent l="0" t="0" r="0" b="0"/>
                <wp:wrapNone/>
                <wp:docPr id="17" name="Caixa de texto 17"/>
                <wp:cNvGraphicFramePr/>
                <a:graphic xmlns:a="http://schemas.openxmlformats.org/drawingml/2006/main">
                  <a:graphicData uri="http://schemas.microsoft.com/office/word/2010/wordprocessingShape">
                    <wps:wsp>
                      <wps:cNvSpPr txBox="1"/>
                      <wps:spPr>
                        <a:xfrm>
                          <a:off x="0" y="0"/>
                          <a:ext cx="5562600" cy="708660"/>
                        </a:xfrm>
                        <a:prstGeom prst="rect">
                          <a:avLst/>
                        </a:prstGeom>
                        <a:solidFill>
                          <a:schemeClr val="lt1"/>
                        </a:solidFill>
                        <a:ln w="6350">
                          <a:noFill/>
                        </a:ln>
                      </wps:spPr>
                      <wps:txbx>
                        <w:txbxContent>
                          <w:p w:rsidR="00A74377" w:rsidRPr="00370C64" w:rsidRDefault="00A74377">
                            <w:pPr>
                              <w:rPr>
                                <w:sz w:val="18"/>
                                <w:szCs w:val="18"/>
                                <w:lang w:val="en-GB"/>
                              </w:rPr>
                            </w:pPr>
                            <w:r w:rsidRPr="00A74377">
                              <w:rPr>
                                <w:sz w:val="18"/>
                                <w:szCs w:val="18"/>
                                <w:lang w:val="en-GB"/>
                              </w:rPr>
                              <w:t>Lúcia Santos, pharmacist, Master in Public Health, presently finishing her PhD degree in Food Security in Coimbra University – Portugal. Her investigation work has been</w:t>
                            </w:r>
                            <w:r w:rsidR="00370C64">
                              <w:rPr>
                                <w:sz w:val="18"/>
                                <w:szCs w:val="18"/>
                                <w:lang w:val="en-GB"/>
                              </w:rPr>
                              <w:t xml:space="preserve"> focusing</w:t>
                            </w:r>
                            <w:r w:rsidRPr="00A74377">
                              <w:rPr>
                                <w:sz w:val="18"/>
                                <w:szCs w:val="18"/>
                                <w:lang w:val="en-GB"/>
                              </w:rPr>
                              <w:t xml:space="preserve"> on food security</w:t>
                            </w:r>
                            <w:r w:rsidR="00370C64">
                              <w:rPr>
                                <w:sz w:val="18"/>
                                <w:szCs w:val="18"/>
                                <w:lang w:val="en-GB"/>
                              </w:rPr>
                              <w:t>,</w:t>
                            </w:r>
                            <w:r w:rsidRPr="00A74377">
                              <w:rPr>
                                <w:sz w:val="18"/>
                                <w:szCs w:val="18"/>
                                <w:lang w:val="en-GB"/>
                              </w:rPr>
                              <w:t xml:space="preserve"> essentially related to the presence of antimicrobial residues in fish and </w:t>
                            </w:r>
                            <w:r>
                              <w:rPr>
                                <w:sz w:val="18"/>
                                <w:szCs w:val="18"/>
                                <w:lang w:val="en-GB"/>
                              </w:rPr>
                              <w:t xml:space="preserve">related </w:t>
                            </w:r>
                            <w:r w:rsidRPr="00A74377">
                              <w:rPr>
                                <w:sz w:val="18"/>
                                <w:szCs w:val="18"/>
                                <w:lang w:val="en-GB"/>
                              </w:rPr>
                              <w:t>consequences on public health.</w:t>
                            </w:r>
                            <w:r>
                              <w:rPr>
                                <w:sz w:val="18"/>
                                <w:szCs w:val="18"/>
                                <w:lang w:val="en-GB"/>
                              </w:rPr>
                              <w:t xml:space="preserve"> </w:t>
                            </w:r>
                            <w:r w:rsidR="00370C64" w:rsidRPr="00370C64">
                              <w:rPr>
                                <w:sz w:val="18"/>
                                <w:szCs w:val="18"/>
                                <w:lang w:val="en-GB"/>
                              </w:rPr>
                              <w:t xml:space="preserve">Special focus is being given </w:t>
                            </w:r>
                            <w:r w:rsidRPr="00370C64">
                              <w:rPr>
                                <w:sz w:val="18"/>
                                <w:szCs w:val="18"/>
                                <w:lang w:val="en-GB"/>
                              </w:rPr>
                              <w:t xml:space="preserve">on the </w:t>
                            </w:r>
                            <w:r w:rsidR="00370C64" w:rsidRPr="00370C64">
                              <w:rPr>
                                <w:sz w:val="18"/>
                                <w:szCs w:val="18"/>
                                <w:lang w:val="en-GB"/>
                              </w:rPr>
                              <w:t>impact of antibiotic use in aquaculture on the global health crisis of antimicrobial resistance.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aixa de texto 17" o:spid="_x0000_s1027" type="#_x0000_t202" style="position:absolute;margin-left:69.8pt;margin-top:2.15pt;width:438pt;height:5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" fillcolor="white [3201]" stroked="f" strokeweight=".5pt">
                <v:textbox>
                  <w:txbxContent>
                    <w:p w:rsidR="00A74377" w:rsidRPr="00370C64" w:rsidRDefault="00A74377">
                      <w:pPr>
                        <w:rPr>
                          <w:sz w:val="18"/>
                          <w:szCs w:val="18"/>
                          <w:lang w:val="en-GB"/>
                        </w:rPr>
                      </w:pPr>
                      <w:r w:rsidRPr="00A74377">
                        <w:rPr>
                          <w:sz w:val="18"/>
                          <w:szCs w:val="18"/>
                          <w:lang w:val="en-GB"/>
                        </w:rPr>
                        <w:t>Lúcia Santos, pharmacist, Master in Public Health, presently finishing her PhD degree in Food Security in Coimbra University – Portugal. Her investigation work has been</w:t>
                      </w:r>
                      <w:r w:rsidR="00370C64">
                        <w:rPr>
                          <w:sz w:val="18"/>
                          <w:szCs w:val="18"/>
                          <w:lang w:val="en-GB"/>
                        </w:rPr>
                        <w:t xml:space="preserve"> focusing</w:t>
                      </w:r>
                      <w:r w:rsidRPr="00A74377">
                        <w:rPr>
                          <w:sz w:val="18"/>
                          <w:szCs w:val="18"/>
                          <w:lang w:val="en-GB"/>
                        </w:rPr>
                        <w:t xml:space="preserve"> on food security</w:t>
                      </w:r>
                      <w:r w:rsidR="00370C64">
                        <w:rPr>
                          <w:sz w:val="18"/>
                          <w:szCs w:val="18"/>
                          <w:lang w:val="en-GB"/>
                        </w:rPr>
                        <w:t>,</w:t>
                      </w:r>
                      <w:r w:rsidRPr="00A74377">
                        <w:rPr>
                          <w:sz w:val="18"/>
                          <w:szCs w:val="18"/>
                          <w:lang w:val="en-GB"/>
                        </w:rPr>
                        <w:t xml:space="preserve"> essentially related to the presence of antimicrobial residues in fish and </w:t>
                      </w:r>
                      <w:r>
                        <w:rPr>
                          <w:sz w:val="18"/>
                          <w:szCs w:val="18"/>
                          <w:lang w:val="en-GB"/>
                        </w:rPr>
                        <w:t xml:space="preserve">related </w:t>
                      </w:r>
                      <w:r w:rsidRPr="00A74377">
                        <w:rPr>
                          <w:sz w:val="18"/>
                          <w:szCs w:val="18"/>
                          <w:lang w:val="en-GB"/>
                        </w:rPr>
                        <w:t>consequences on public health.</w:t>
                      </w:r>
                      <w:r>
                        <w:rPr>
                          <w:sz w:val="18"/>
                          <w:szCs w:val="18"/>
                          <w:lang w:val="en-GB"/>
                        </w:rPr>
                        <w:t xml:space="preserve"> </w:t>
                      </w:r>
                      <w:r w:rsidR="00370C64" w:rsidRPr="00370C64">
                        <w:rPr>
                          <w:sz w:val="18"/>
                          <w:szCs w:val="18"/>
                          <w:lang w:val="en-GB"/>
                        </w:rPr>
                        <w:t xml:space="preserve">Special focus is being given </w:t>
                      </w:r>
                      <w:r w:rsidRPr="00370C64">
                        <w:rPr>
                          <w:sz w:val="18"/>
                          <w:szCs w:val="18"/>
                          <w:lang w:val="en-GB"/>
                        </w:rPr>
                        <w:t xml:space="preserve">on the </w:t>
                      </w:r>
                      <w:r w:rsidR="00370C64" w:rsidRPr="00370C64">
                        <w:rPr>
                          <w:sz w:val="18"/>
                          <w:szCs w:val="18"/>
                          <w:lang w:val="en-GB"/>
                        </w:rPr>
                        <w:t>impact of antibiotic use in aquaculture on the global health crisis of antimicrobial resistance.</w:t>
                      </w:r>
                    </w:p>
                  </w:txbxContent>
                </v:textbox>
              </v:shape>
            </w:pict>
          </mc:Fallback>
        </mc:AlternateContent>
      </w:r>
    </w:p>
    <w:p w:rsidR="00A74377" w:rsidRDefault="00A74377" w:rsidP="00A74377">
      <w:pPr>
        <w:spacing w:before="92"/>
        <w:ind w:right="4234"/>
        <w:rPr>
          <w:noProof/>
          <w:lang w:val="en-IN" w:eastAsia="en-IN"/>
        </w:rPr>
      </w:pPr>
    </w:p>
    <w:p w:rsidR="00A74377" w:rsidRPr="00A74377" w:rsidRDefault="00A74377" w:rsidP="00A74377">
      <w:pPr>
        <w:spacing w:before="92"/>
        <w:ind w:right="4234"/>
        <w:rPr>
          <w:noProof/>
          <w:lang w:val="en-IN" w:eastAsia="en-IN"/>
        </w:rPr>
      </w:pPr>
    </w:p>
    <w:p w:rsidR="00AE3E37" w:rsidRDefault="00A9710C">
      <w:pPr>
        <w:spacing w:before="41" w:line="154" w:lineRule="exact"/>
        <w:ind w:left="213" w:right="231"/>
        <w:jc w:val="both"/>
        <w:rPr>
          <w:rFonts w:ascii="Arial"/>
          <w:sz w:val="14"/>
        </w:rPr>
      </w:pPr>
      <w:r>
        <w:rPr>
          <w:rFonts w:ascii="Arial"/>
          <w:sz w:val="14"/>
        </w:rPr>
        <w:t xml:space="preserve">Deanna </w:t>
      </w:r>
    </w:p>
    <w:p w:rsidR="00AE3E37" w:rsidRDefault="00A9710C">
      <w:pPr>
        <w:spacing w:before="62"/>
        <w:ind w:left="4217" w:right="4235"/>
        <w:jc w:val="center"/>
        <w:rPr>
          <w:rFonts w:ascii="Arial"/>
          <w:sz w:val="14"/>
        </w:rPr>
      </w:pPr>
      <w:r>
        <w:rPr>
          <w:rFonts w:ascii="Arial"/>
          <w:sz w:val="14"/>
        </w:rPr>
        <w:t xml:space="preserve">Email: </w:t>
      </w:r>
      <w:hyperlink r:id="rId11" w:history="1">
        <w:r w:rsidR="00370C64" w:rsidRPr="00562E12">
          <w:rPr>
            <w:rStyle w:val="Hiperligao"/>
            <w:rFonts w:ascii="Arial"/>
            <w:sz w:val="14"/>
          </w:rPr>
          <w:t>luciamlsantos@gmail.com</w:t>
        </w:r>
      </w:hyperlink>
    </w:p>
    <w:p w:rsidR="00AE3E37" w:rsidRPr="00B21A57" w:rsidRDefault="00292ED9" w:rsidP="00370C64">
      <w:pPr>
        <w:pStyle w:val="Corpodetexto"/>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64C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370C64">
      <w:pPr>
        <w:pStyle w:val="Corpodetexto"/>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5F0D" w:rsidRDefault="00D25F0D">
      <w:r>
        <w:separator/>
      </w:r>
    </w:p>
  </w:endnote>
  <w:endnote w:type="continuationSeparator" w:id="0">
    <w:p w:rsidR="00D25F0D" w:rsidRDefault="00D2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5F0D" w:rsidRDefault="00D25F0D">
      <w:r>
        <w:separator/>
      </w:r>
    </w:p>
  </w:footnote>
  <w:footnote w:type="continuationSeparator" w:id="0">
    <w:p w:rsidR="00D25F0D" w:rsidRDefault="00D25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370C64"/>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74377"/>
    <w:rsid w:val="00A9710C"/>
    <w:rsid w:val="00AE3E37"/>
    <w:rsid w:val="00B21A57"/>
    <w:rsid w:val="00C33602"/>
    <w:rsid w:val="00CD6F55"/>
    <w:rsid w:val="00D25F0D"/>
    <w:rsid w:val="00DE3104"/>
    <w:rsid w:val="00E26B10"/>
    <w:rsid w:val="00E534CA"/>
    <w:rsid w:val="00E93DDB"/>
    <w:rsid w:val="00F550A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5DBEF"/>
  <w15:docId w15:val="{2FC65DEA-3F94-4A13-A480-0A68A4B5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MenoNoResolvida">
    <w:name w:val="Unresolved Mention"/>
    <w:basedOn w:val="Tipodeletrapredefinidodopargrafo"/>
    <w:uiPriority w:val="99"/>
    <w:semiHidden/>
    <w:unhideWhenUsed/>
    <w:rsid w:val="00370C6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ciamlsantos@gmail.com" TargetMode="Externa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509</Words>
  <Characters>2749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Lúcia Santos</cp:lastModifiedBy>
  <cp:revision>3</cp:revision>
  <dcterms:created xsi:type="dcterms:W3CDTF">2016-12-06T11:19:00Z</dcterms:created>
  <dcterms:modified xsi:type="dcterms:W3CDTF">2018-02-22T10:23:00Z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