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EAC" w:rsidRDefault="00333524" w:rsidP="00333524">
      <w:pPr>
        <w:jc w:val="center"/>
        <w:rPr>
          <w:b/>
          <w:sz w:val="24"/>
          <w:szCs w:val="24"/>
        </w:rPr>
      </w:pPr>
      <w:r w:rsidRPr="00333524">
        <w:rPr>
          <w:b/>
          <w:sz w:val="24"/>
          <w:szCs w:val="24"/>
        </w:rPr>
        <w:t>Acute Kidney Injury Sub –Saharan Africa</w:t>
      </w:r>
    </w:p>
    <w:p w:rsidR="007F43B1" w:rsidRPr="00333524" w:rsidRDefault="007F43B1" w:rsidP="00333524">
      <w:pPr>
        <w:jc w:val="center"/>
        <w:rPr>
          <w:b/>
          <w:sz w:val="24"/>
          <w:szCs w:val="24"/>
        </w:rPr>
      </w:pPr>
      <w:r>
        <w:rPr>
          <w:b/>
          <w:sz w:val="24"/>
          <w:szCs w:val="24"/>
        </w:rPr>
        <w:t>Single Center Study</w:t>
      </w:r>
    </w:p>
    <w:p w:rsidR="00333524" w:rsidRDefault="00333524" w:rsidP="00333524"/>
    <w:p w:rsidR="00333524" w:rsidRDefault="00333524" w:rsidP="00333524">
      <w:pPr>
        <w:keepNext/>
        <w:keepLines/>
        <w:spacing w:before="200" w:after="0"/>
        <w:outlineLvl w:val="1"/>
        <w:rPr>
          <w:rFonts w:asciiTheme="majorHAnsi" w:eastAsiaTheme="majorEastAsia" w:hAnsiTheme="majorHAnsi" w:cstheme="majorBidi"/>
          <w:b/>
          <w:bCs/>
          <w:color w:val="5B9BD5" w:themeColor="accent1"/>
          <w:sz w:val="26"/>
          <w:szCs w:val="26"/>
        </w:rPr>
      </w:pPr>
      <w:r>
        <w:rPr>
          <w:rFonts w:asciiTheme="majorHAnsi" w:eastAsiaTheme="majorEastAsia" w:hAnsiTheme="majorHAnsi" w:cstheme="majorBidi"/>
          <w:b/>
          <w:bCs/>
          <w:color w:val="5B9BD5" w:themeColor="accent1"/>
          <w:sz w:val="26"/>
          <w:szCs w:val="26"/>
        </w:rPr>
        <w:t>Background</w:t>
      </w:r>
    </w:p>
    <w:p w:rsidR="00333524" w:rsidRDefault="00CC6046" w:rsidP="00CC6046">
      <w:pPr>
        <w:jc w:val="both"/>
        <w:rPr>
          <w:rFonts w:ascii="Calibri" w:hAnsi="Calibri"/>
        </w:rPr>
      </w:pPr>
      <w:r w:rsidRPr="00CC6046">
        <w:rPr>
          <w:rFonts w:ascii="Calibri" w:hAnsi="Calibri"/>
        </w:rPr>
        <w:t>The burden of acute kidney injury in sub-Sahara</w:t>
      </w:r>
      <w:r>
        <w:rPr>
          <w:rFonts w:ascii="Calibri" w:hAnsi="Calibri"/>
        </w:rPr>
        <w:t>n Africa is presumably high but remains unknown</w:t>
      </w:r>
      <w:r w:rsidR="00333524">
        <w:rPr>
          <w:rFonts w:ascii="Calibri" w:hAnsi="Calibri"/>
        </w:rPr>
        <w:t>. While there are no reliable statistics about the incidence of AKI in Africa, infectious diseases and toxins are assumed to play a major etiologic role. We aimed to characterize pathogenesis, treatment, and outcomes in AKI patients treated at Soba University Hospital, Khartoum, Sudan.</w:t>
      </w:r>
    </w:p>
    <w:p w:rsidR="00333524" w:rsidRDefault="00333524" w:rsidP="00333524">
      <w:pPr>
        <w:spacing w:after="0"/>
        <w:jc w:val="both"/>
        <w:rPr>
          <w:rFonts w:ascii="Calibri" w:hAnsi="Calibri"/>
        </w:rPr>
      </w:pPr>
      <w:r>
        <w:rPr>
          <w:rFonts w:asciiTheme="majorHAnsi" w:eastAsiaTheme="majorEastAsia" w:hAnsiTheme="majorHAnsi" w:cstheme="majorBidi"/>
          <w:b/>
          <w:bCs/>
          <w:color w:val="5B9BD5" w:themeColor="accent1"/>
          <w:sz w:val="26"/>
          <w:szCs w:val="26"/>
        </w:rPr>
        <w:t>Methods</w:t>
      </w:r>
    </w:p>
    <w:p w:rsidR="00333524" w:rsidRDefault="00333524" w:rsidP="00333524">
      <w:pPr>
        <w:spacing w:after="0"/>
        <w:jc w:val="both"/>
        <w:rPr>
          <w:rFonts w:cstheme="minorHAnsi"/>
        </w:rPr>
      </w:pPr>
      <w:r>
        <w:rPr>
          <w:rFonts w:eastAsia="Times New Roman" w:cstheme="minorHAnsi"/>
        </w:rPr>
        <w:t xml:space="preserve">Soba University Hospital is a tertiary health center with a catchment area of 5.3 million citizens. We included all hemodialysis patients treated for AKI between 1/1/2013 and 12/31/2014 in the study. We report descriptive statistics of the study population and causes of AKI, stratified by gender, and also conducted a </w:t>
      </w:r>
      <w:r>
        <w:rPr>
          <w:rFonts w:eastAsia="Times New Roman" w:cstheme="minorHAnsi"/>
          <w:lang w:val="pt-BR"/>
        </w:rPr>
        <w:t>survival analysis</w:t>
      </w:r>
      <w:r>
        <w:rPr>
          <w:rFonts w:eastAsia="Times New Roman" w:cstheme="minorHAnsi"/>
        </w:rPr>
        <w:t xml:space="preserve"> by constructing </w:t>
      </w:r>
      <w:r>
        <w:rPr>
          <w:rFonts w:eastAsia="Times New Roman" w:cstheme="minorHAnsi"/>
          <w:lang w:val="pt-BR"/>
        </w:rPr>
        <w:t xml:space="preserve">Kaplan-Meier curves and Cox regression analysis. Data are presented as mean±SD, unless stated otherwise. A p-value less than 5% was considered significant. </w:t>
      </w:r>
      <w:r>
        <w:rPr>
          <w:rFonts w:eastAsia="Calibri" w:cstheme="minorHAnsi"/>
          <w:lang w:val="pt-BR"/>
        </w:rPr>
        <w:t xml:space="preserve"> </w:t>
      </w:r>
    </w:p>
    <w:p w:rsidR="00333524" w:rsidRDefault="00333524" w:rsidP="00333524">
      <w:pPr>
        <w:spacing w:after="0"/>
        <w:jc w:val="both"/>
        <w:rPr>
          <w:rFonts w:ascii="Calibri" w:hAnsi="Calibri"/>
        </w:rPr>
      </w:pPr>
    </w:p>
    <w:p w:rsidR="00333524" w:rsidRDefault="00333524" w:rsidP="00333524">
      <w:pPr>
        <w:spacing w:after="0" w:line="240" w:lineRule="auto"/>
        <w:jc w:val="both"/>
        <w:rPr>
          <w:rFonts w:asciiTheme="majorHAnsi" w:eastAsiaTheme="majorEastAsia" w:hAnsiTheme="majorHAnsi" w:cstheme="majorBidi"/>
          <w:b/>
          <w:bCs/>
          <w:color w:val="5B9BD5" w:themeColor="accent1"/>
          <w:sz w:val="26"/>
          <w:szCs w:val="26"/>
        </w:rPr>
      </w:pPr>
      <w:r>
        <w:rPr>
          <w:rFonts w:asciiTheme="majorHAnsi" w:eastAsiaTheme="majorEastAsia" w:hAnsiTheme="majorHAnsi" w:cstheme="majorBidi"/>
          <w:b/>
          <w:bCs/>
          <w:color w:val="5B9BD5" w:themeColor="accent1"/>
          <w:sz w:val="26"/>
          <w:szCs w:val="26"/>
        </w:rPr>
        <w:t>Results</w:t>
      </w:r>
    </w:p>
    <w:p w:rsidR="00333524" w:rsidRDefault="00333524" w:rsidP="00333524">
      <w:pPr>
        <w:keepNext/>
        <w:keepLines/>
        <w:spacing w:after="0"/>
        <w:jc w:val="both"/>
        <w:outlineLvl w:val="1"/>
        <w:rPr>
          <w:rFonts w:ascii="Calibri" w:eastAsia="Times New Roman" w:hAnsi="Calibri" w:cs="Times New Roman"/>
        </w:rPr>
      </w:pPr>
      <w:r>
        <w:rPr>
          <w:rFonts w:ascii="Calibri" w:eastAsia="Times New Roman" w:hAnsi="Calibri" w:cs="Times New Roman"/>
        </w:rPr>
        <w:t xml:space="preserve">During the 2-year study period 520 patients received emergency hemodialysis, 71 patients (14%) of those were classified as having AKI (age 40.6±17.3 years, </w:t>
      </w:r>
      <w:r>
        <w:rPr>
          <w:rFonts w:ascii="Calibri" w:eastAsia="Times New Roman" w:hAnsi="Calibri" w:cs="Times New Roman"/>
          <w:lang w:val="pt-BR"/>
        </w:rPr>
        <w:t>56.5%</w:t>
      </w:r>
      <w:r>
        <w:rPr>
          <w:rFonts w:ascii="Calibri" w:eastAsia="Times New Roman" w:hAnsi="Calibri" w:cs="Times New Roman"/>
        </w:rPr>
        <w:t xml:space="preserve"> were males, serum creatinine at admission </w:t>
      </w:r>
      <w:r>
        <w:rPr>
          <w:rFonts w:ascii="Calibri" w:eastAsia="Times New Roman" w:hAnsi="Calibri" w:cs="Times New Roman"/>
          <w:lang w:val="pt-BR"/>
        </w:rPr>
        <w:t xml:space="preserve">15.0±7.0 mg/dL and 2.5±2.4 mg/dL at </w:t>
      </w:r>
      <w:r>
        <w:rPr>
          <w:rFonts w:ascii="Calibri" w:eastAsia="Times New Roman" w:hAnsi="Calibri" w:cs="Times New Roman"/>
        </w:rPr>
        <w:t xml:space="preserve">discharge; blood urea at admission </w:t>
      </w:r>
      <w:r>
        <w:rPr>
          <w:rFonts w:ascii="Calibri" w:eastAsia="Times New Roman" w:hAnsi="Calibri" w:cs="Times New Roman"/>
          <w:lang w:val="pt-BR"/>
        </w:rPr>
        <w:t xml:space="preserve">247.6±124.9 mg/dL </w:t>
      </w:r>
      <w:r>
        <w:rPr>
          <w:rFonts w:ascii="Calibri" w:eastAsia="Times New Roman" w:hAnsi="Calibri" w:cs="Times New Roman"/>
        </w:rPr>
        <w:t xml:space="preserve">and </w:t>
      </w:r>
      <w:r>
        <w:rPr>
          <w:rFonts w:ascii="Calibri" w:eastAsia="Times New Roman" w:hAnsi="Calibri" w:cs="Times New Roman"/>
          <w:lang w:val="pt-BR"/>
        </w:rPr>
        <w:t>53.4±31.9 mg/dl at discharge</w:t>
      </w:r>
      <w:r>
        <w:rPr>
          <w:rFonts w:ascii="Calibri" w:eastAsia="Times New Roman" w:hAnsi="Calibri" w:cs="Times New Roman"/>
        </w:rPr>
        <w:t xml:space="preserve">). Glomerular and tubular renal disease (18 patients (25.3 %)) was the leading cause of AKI with a slight predominance in female patients, followed by intoxication (11 patients (15.5%)) and pre-renal causes (10 patients (14.1%)). Obstructive </w:t>
      </w:r>
      <w:proofErr w:type="spellStart"/>
      <w:r>
        <w:rPr>
          <w:rFonts w:ascii="Calibri" w:eastAsia="Times New Roman" w:hAnsi="Calibri" w:cs="Times New Roman"/>
        </w:rPr>
        <w:t>uropathy</w:t>
      </w:r>
      <w:proofErr w:type="spellEnd"/>
      <w:r>
        <w:rPr>
          <w:rFonts w:ascii="Calibri" w:eastAsia="Times New Roman" w:hAnsi="Calibri" w:cs="Times New Roman"/>
        </w:rPr>
        <w:t xml:space="preserve"> was more frequent in men (17.5% of male cases). </w:t>
      </w:r>
      <w:r>
        <w:rPr>
          <w:rFonts w:ascii="Calibri" w:eastAsia="Times New Roman" w:hAnsi="Calibri" w:cs="Times New Roman"/>
          <w:lang w:val="pt-BR"/>
        </w:rPr>
        <w:t>A median of 5 dialysis sessions were deployed with a median of 8 days on hemodialysis</w:t>
      </w:r>
      <w:r w:rsidR="00E062D1">
        <w:rPr>
          <w:rFonts w:ascii="Calibri" w:eastAsia="Times New Roman" w:hAnsi="Calibri" w:cs="Times New Roman"/>
          <w:lang w:val="pt-BR"/>
        </w:rPr>
        <w:t xml:space="preserve"> </w:t>
      </w:r>
      <w:r w:rsidR="00E062D1">
        <w:rPr>
          <w:rFonts w:ascii="Calibri" w:eastAsia="Times New Roman" w:hAnsi="Calibri" w:cs="Times New Roman"/>
        </w:rPr>
        <w:t>[</w:t>
      </w:r>
      <w:r w:rsidR="00E062D1" w:rsidRPr="00801FAB">
        <w:rPr>
          <w:rFonts w:ascii="Calibri" w:eastAsia="Times New Roman" w:hAnsi="Calibri" w:cs="Times New Roman"/>
          <w:b/>
        </w:rPr>
        <w:t xml:space="preserve">Figure </w:t>
      </w:r>
      <w:r w:rsidR="00E062D1">
        <w:rPr>
          <w:rFonts w:ascii="Calibri" w:eastAsia="Times New Roman" w:hAnsi="Calibri" w:cs="Times New Roman"/>
          <w:b/>
        </w:rPr>
        <w:t>1</w:t>
      </w:r>
      <w:r w:rsidR="00E062D1">
        <w:rPr>
          <w:rFonts w:ascii="Calibri" w:eastAsia="Times New Roman" w:hAnsi="Calibri" w:cs="Times New Roman"/>
        </w:rPr>
        <w:t>]</w:t>
      </w:r>
      <w:r w:rsidR="00E062D1">
        <w:rPr>
          <w:rFonts w:ascii="Calibri" w:eastAsia="Times New Roman" w:hAnsi="Calibri" w:cs="Times New Roman"/>
          <w:lang w:val="pt-BR"/>
        </w:rPr>
        <w:t xml:space="preserve"> </w:t>
      </w:r>
      <w:r>
        <w:rPr>
          <w:rFonts w:ascii="Calibri" w:eastAsia="Times New Roman" w:hAnsi="Calibri" w:cs="Times New Roman"/>
          <w:lang w:val="pt-BR"/>
        </w:rPr>
        <w:t xml:space="preserve">, which was higher in males. </w:t>
      </w:r>
      <w:r>
        <w:rPr>
          <w:rFonts w:ascii="Calibri" w:eastAsia="Times New Roman" w:hAnsi="Calibri" w:cs="Times New Roman"/>
        </w:rPr>
        <w:t>Thirty two patients (45.1%) experienced recovery of renal function, 10 patients (14.1%) died while still on hemodialysis, and 29 patients (40.8%) remained dialysis-dependent. Better survival was observed in male patients as per Kaplan Meier statistics</w:t>
      </w:r>
      <w:r w:rsidR="00801FAB">
        <w:rPr>
          <w:rFonts w:ascii="Calibri" w:eastAsia="Times New Roman" w:hAnsi="Calibri" w:cs="Times New Roman"/>
        </w:rPr>
        <w:t xml:space="preserve"> [</w:t>
      </w:r>
      <w:r w:rsidR="00801FAB" w:rsidRPr="00801FAB">
        <w:rPr>
          <w:rFonts w:ascii="Calibri" w:eastAsia="Times New Roman" w:hAnsi="Calibri" w:cs="Times New Roman"/>
          <w:b/>
        </w:rPr>
        <w:t>Figure 2</w:t>
      </w:r>
      <w:r w:rsidR="00801FAB">
        <w:rPr>
          <w:rFonts w:ascii="Calibri" w:eastAsia="Times New Roman" w:hAnsi="Calibri" w:cs="Times New Roman"/>
        </w:rPr>
        <w:t>]</w:t>
      </w:r>
      <w:r>
        <w:rPr>
          <w:rFonts w:ascii="Calibri" w:eastAsia="Times New Roman" w:hAnsi="Calibri" w:cs="Times New Roman"/>
        </w:rPr>
        <w:t>. Cox regression analysis investigating the effects of gender showed with Hazard Ratio with 4.1 (95% CI 1.02 to 16.67) a greater risk of death for female patients. Outcomes were worse for those suffering from prerenal AKI and intoxications</w:t>
      </w:r>
    </w:p>
    <w:p w:rsidR="00333524" w:rsidRDefault="00333524" w:rsidP="00333524">
      <w:pPr>
        <w:keepNext/>
        <w:keepLines/>
        <w:spacing w:before="200" w:after="0"/>
        <w:outlineLvl w:val="1"/>
        <w:rPr>
          <w:rFonts w:asciiTheme="majorHAnsi" w:eastAsiaTheme="majorEastAsia" w:hAnsiTheme="majorHAnsi" w:cstheme="majorBidi"/>
          <w:b/>
          <w:bCs/>
          <w:color w:val="5B9BD5" w:themeColor="accent1"/>
          <w:sz w:val="26"/>
          <w:szCs w:val="26"/>
        </w:rPr>
      </w:pPr>
      <w:r>
        <w:rPr>
          <w:rFonts w:ascii="Calibri" w:eastAsia="Times New Roman" w:hAnsi="Calibri" w:cs="Times New Roman"/>
          <w:sz w:val="16"/>
          <w:szCs w:val="16"/>
        </w:rPr>
        <w:t>.</w:t>
      </w:r>
      <w:r>
        <w:rPr>
          <w:rFonts w:asciiTheme="majorHAnsi" w:eastAsiaTheme="majorEastAsia" w:hAnsiTheme="majorHAnsi" w:cstheme="majorBidi"/>
          <w:b/>
          <w:bCs/>
          <w:color w:val="5B9BD5" w:themeColor="accent1"/>
          <w:sz w:val="26"/>
          <w:szCs w:val="26"/>
        </w:rPr>
        <w:t>Conclusions</w:t>
      </w:r>
    </w:p>
    <w:p w:rsidR="00333524" w:rsidRDefault="00333524" w:rsidP="00333524">
      <w:pPr>
        <w:rPr>
          <w:rFonts w:eastAsia="Times New Roman" w:cstheme="minorHAnsi"/>
          <w:shd w:val="clear" w:color="auto" w:fill="FFFFFF"/>
        </w:rPr>
      </w:pPr>
      <w:r>
        <w:rPr>
          <w:rFonts w:eastAsia="Times New Roman" w:cstheme="minorHAnsi"/>
          <w:shd w:val="clear" w:color="auto" w:fill="FFFFFF"/>
        </w:rPr>
        <w:t>AKI is a common condition in developing countries. Intrinsic renal disease, intoxication and prerenal causes were the leading cause of AKI in our study. Female gender, AKI due to intoxication and prerenal AKI were associated with worsened outcomes as compared to other causes. The awareness of factors resulting in worsened outcomes in developing</w:t>
      </w:r>
      <w:r w:rsidR="001705FE">
        <w:rPr>
          <w:rFonts w:eastAsia="Times New Roman" w:cstheme="minorHAnsi"/>
          <w:shd w:val="clear" w:color="auto" w:fill="FFFFFF"/>
        </w:rPr>
        <w:t xml:space="preserve"> </w:t>
      </w:r>
      <w:r w:rsidR="001705FE" w:rsidRPr="001705FE">
        <w:rPr>
          <w:rFonts w:eastAsia="Times New Roman" w:cstheme="minorHAnsi"/>
          <w:shd w:val="clear" w:color="auto" w:fill="FFFFFF"/>
        </w:rPr>
        <w:t>countries is central diagnostic and therapeutic efforts, and needs to also be considered in the design of initiatives aiming to reduce risk factors of AKI.</w:t>
      </w:r>
    </w:p>
    <w:p w:rsidR="00D27808" w:rsidRDefault="00D27808" w:rsidP="00333524">
      <w:pPr>
        <w:rPr>
          <w:rFonts w:eastAsia="Times New Roman" w:cstheme="minorHAnsi"/>
          <w:shd w:val="clear" w:color="auto" w:fill="FFFFFF"/>
        </w:rPr>
      </w:pPr>
    </w:p>
    <w:p w:rsidR="00D27808" w:rsidRDefault="00D27808" w:rsidP="00333524">
      <w:pPr>
        <w:rPr>
          <w:rFonts w:eastAsia="Times New Roman" w:cstheme="minorHAnsi"/>
          <w:shd w:val="clear" w:color="auto" w:fill="FFFFFF"/>
        </w:rPr>
      </w:pPr>
    </w:p>
    <w:p w:rsidR="00064BDA" w:rsidRDefault="00064BDA" w:rsidP="00333524">
      <w:pPr>
        <w:rPr>
          <w:rFonts w:eastAsia="Times New Roman" w:cstheme="minorHAnsi"/>
          <w:shd w:val="clear" w:color="auto" w:fill="FFFFFF"/>
        </w:rPr>
      </w:pPr>
    </w:p>
    <w:p w:rsidR="00D27808" w:rsidRDefault="00207290" w:rsidP="00333524">
      <w:pPr>
        <w:rPr>
          <w:rFonts w:eastAsia="Times New Roman" w:cstheme="minorHAnsi"/>
          <w:b/>
          <w:shd w:val="clear" w:color="auto" w:fill="FFFFFF"/>
        </w:rPr>
      </w:pPr>
      <w:r w:rsidRPr="00207290">
        <w:rPr>
          <w:rFonts w:eastAsia="Times New Roman" w:cstheme="minorHAnsi"/>
          <w:b/>
          <w:shd w:val="clear" w:color="auto" w:fill="FFFFFF"/>
        </w:rPr>
        <w:lastRenderedPageBreak/>
        <w:t xml:space="preserve">Figure </w:t>
      </w:r>
      <w:r>
        <w:rPr>
          <w:rFonts w:eastAsia="Times New Roman" w:cstheme="minorHAnsi"/>
          <w:b/>
          <w:shd w:val="clear" w:color="auto" w:fill="FFFFFF"/>
        </w:rPr>
        <w:t>1</w:t>
      </w:r>
      <w:r w:rsidRPr="00207290">
        <w:rPr>
          <w:rFonts w:eastAsia="Times New Roman" w:cstheme="minorHAnsi"/>
          <w:b/>
          <w:shd w:val="clear" w:color="auto" w:fill="FFFFFF"/>
        </w:rPr>
        <w:t>. Length of renal replacement therapy among those with renal recovery</w:t>
      </w:r>
    </w:p>
    <w:p w:rsidR="00064BDA" w:rsidRPr="00207290" w:rsidRDefault="00064BDA" w:rsidP="00333524">
      <w:pPr>
        <w:rPr>
          <w:rFonts w:eastAsia="Times New Roman" w:cstheme="minorHAnsi"/>
          <w:b/>
          <w:shd w:val="clear" w:color="auto" w:fill="FFFFFF"/>
        </w:rPr>
      </w:pPr>
      <w:r>
        <w:rPr>
          <w:rFonts w:eastAsia="Times New Roman" w:cstheme="minorHAnsi"/>
          <w:b/>
          <w:noProof/>
          <w:shd w:val="clear" w:color="auto" w:fill="FFFFFF"/>
        </w:rPr>
        <w:drawing>
          <wp:inline distT="0" distB="0" distL="0" distR="0" wp14:anchorId="23867CAA">
            <wp:extent cx="4584700" cy="27495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84700" cy="2749550"/>
                    </a:xfrm>
                    <a:prstGeom prst="rect">
                      <a:avLst/>
                    </a:prstGeom>
                    <a:noFill/>
                  </pic:spPr>
                </pic:pic>
              </a:graphicData>
            </a:graphic>
          </wp:inline>
        </w:drawing>
      </w:r>
    </w:p>
    <w:p w:rsidR="00064BDA" w:rsidRDefault="00064BDA" w:rsidP="00333524">
      <w:pPr>
        <w:rPr>
          <w:rFonts w:eastAsia="Times New Roman" w:cstheme="minorHAnsi"/>
          <w:b/>
          <w:shd w:val="clear" w:color="auto" w:fill="FFFFFF"/>
        </w:rPr>
      </w:pPr>
    </w:p>
    <w:p w:rsidR="00D27808" w:rsidRDefault="00207290" w:rsidP="00333524">
      <w:pPr>
        <w:rPr>
          <w:rFonts w:eastAsia="Times New Roman" w:cstheme="minorHAnsi"/>
          <w:b/>
          <w:shd w:val="clear" w:color="auto" w:fill="FFFFFF"/>
        </w:rPr>
      </w:pPr>
      <w:r>
        <w:rPr>
          <w:rFonts w:eastAsia="Times New Roman" w:cstheme="minorHAnsi"/>
          <w:b/>
          <w:shd w:val="clear" w:color="auto" w:fill="FFFFFF"/>
        </w:rPr>
        <w:t xml:space="preserve">Figure 2. </w:t>
      </w:r>
      <w:r w:rsidR="00D27808">
        <w:rPr>
          <w:rFonts w:eastAsia="Times New Roman" w:cstheme="minorHAnsi"/>
          <w:b/>
          <w:shd w:val="clear" w:color="auto" w:fill="FFFFFF"/>
        </w:rPr>
        <w:t>Kaplan-Meier</w:t>
      </w:r>
      <w:r w:rsidR="00D27808" w:rsidRPr="00D27808">
        <w:rPr>
          <w:rFonts w:eastAsia="Times New Roman" w:cstheme="minorHAnsi"/>
          <w:b/>
          <w:shd w:val="clear" w:color="auto" w:fill="FFFFFF"/>
        </w:rPr>
        <w:t xml:space="preserve"> survival curve analysis stratified by gender</w:t>
      </w:r>
    </w:p>
    <w:p w:rsidR="00D27808" w:rsidRPr="00064BDA" w:rsidRDefault="00064BDA" w:rsidP="00333524">
      <w:pPr>
        <w:rPr>
          <w:rFonts w:eastAsia="Times New Roman" w:cstheme="minorHAnsi"/>
          <w:b/>
          <w:shd w:val="clear" w:color="auto" w:fill="FFFFFF"/>
        </w:rPr>
      </w:pPr>
      <w:r>
        <w:rPr>
          <w:rFonts w:eastAsia="Times New Roman" w:cstheme="minorHAnsi"/>
          <w:b/>
          <w:noProof/>
          <w:shd w:val="clear" w:color="auto" w:fill="FFFFFF"/>
        </w:rPr>
        <w:drawing>
          <wp:inline distT="0" distB="0" distL="0" distR="0" wp14:anchorId="1414E2E9">
            <wp:extent cx="5834380" cy="43770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34380" cy="4377055"/>
                    </a:xfrm>
                    <a:prstGeom prst="rect">
                      <a:avLst/>
                    </a:prstGeom>
                    <a:noFill/>
                  </pic:spPr>
                </pic:pic>
              </a:graphicData>
            </a:graphic>
          </wp:inline>
        </w:drawing>
      </w:r>
      <w:bookmarkStart w:id="0" w:name="_GoBack"/>
      <w:bookmarkEnd w:id="0"/>
    </w:p>
    <w:sectPr w:rsidR="00D27808" w:rsidRPr="00064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524"/>
    <w:rsid w:val="00064BDA"/>
    <w:rsid w:val="001705FE"/>
    <w:rsid w:val="00207290"/>
    <w:rsid w:val="00333524"/>
    <w:rsid w:val="007F43B1"/>
    <w:rsid w:val="00801FAB"/>
    <w:rsid w:val="00CB7805"/>
    <w:rsid w:val="00CC6046"/>
    <w:rsid w:val="00D27808"/>
    <w:rsid w:val="00E062D1"/>
    <w:rsid w:val="00EE6EAC"/>
    <w:rsid w:val="00F72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4C698-8015-41A6-A65F-972B5C1A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05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5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477505">
      <w:bodyDiv w:val="1"/>
      <w:marLeft w:val="0"/>
      <w:marRight w:val="0"/>
      <w:marTop w:val="0"/>
      <w:marBottom w:val="0"/>
      <w:divBdr>
        <w:top w:val="none" w:sz="0" w:space="0" w:color="auto"/>
        <w:left w:val="none" w:sz="0" w:space="0" w:color="auto"/>
        <w:bottom w:val="none" w:sz="0" w:space="0" w:color="auto"/>
        <w:right w:val="none" w:sz="0" w:space="0" w:color="auto"/>
      </w:divBdr>
    </w:div>
    <w:div w:id="151106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439</Words>
  <Characters>2464</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Authorized User</dc:creator>
  <cp:keywords/>
  <dc:description/>
  <cp:lastModifiedBy>Elrashid,Dalia</cp:lastModifiedBy>
  <cp:revision>8</cp:revision>
  <cp:lastPrinted>2016-11-23T21:01:00Z</cp:lastPrinted>
  <dcterms:created xsi:type="dcterms:W3CDTF">2016-11-23T20:18:00Z</dcterms:created>
  <dcterms:modified xsi:type="dcterms:W3CDTF">2016-11-28T19:57:00Z</dcterms:modified>
</cp:coreProperties>
</file>