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D6F" w:rsidRDefault="00467D6F" w:rsidP="00467D6F">
      <w:pPr>
        <w:snapToGrid w:val="0"/>
        <w:spacing w:after="0" w:line="480" w:lineRule="auto"/>
        <w:rPr>
          <w:rFonts w:asciiTheme="majorBidi" w:hAnsiTheme="majorBidi" w:cstheme="majorBidi"/>
        </w:rPr>
      </w:pPr>
      <w:r w:rsidRPr="003F1242">
        <w:rPr>
          <w:rFonts w:asciiTheme="majorBidi" w:hAnsiTheme="majorBidi" w:cstheme="majorBidi"/>
          <w:b/>
          <w:bCs/>
        </w:rPr>
        <w:t xml:space="preserve">Objective: </w:t>
      </w:r>
      <w:r w:rsidRPr="003F1242">
        <w:rPr>
          <w:rFonts w:asciiTheme="majorBidi" w:hAnsiTheme="majorBidi" w:cstheme="majorBidi"/>
        </w:rPr>
        <w:t>Letrozole (LTZ) is an aromatase inhibitor that has the potential to be used to interfere with the male growth and reproductive function by altering sex hormones.</w:t>
      </w:r>
    </w:p>
    <w:p w:rsidR="00467D6F" w:rsidRDefault="00467D6F" w:rsidP="00467D6F">
      <w:pPr>
        <w:snapToGrid w:val="0"/>
        <w:spacing w:after="0" w:line="480" w:lineRule="auto"/>
        <w:jc w:val="both"/>
        <w:rPr>
          <w:rFonts w:asciiTheme="majorBidi" w:hAnsiTheme="majorBidi" w:cstheme="majorBidi"/>
          <w:lang w:val="en-US"/>
        </w:rPr>
      </w:pPr>
      <w:r w:rsidRPr="003F1242">
        <w:rPr>
          <w:rFonts w:asciiTheme="majorBidi" w:hAnsiTheme="majorBidi" w:cstheme="majorBidi"/>
          <w:b/>
          <w:bCs/>
        </w:rPr>
        <w:t>Methods:</w:t>
      </w:r>
      <w:r>
        <w:rPr>
          <w:rFonts w:asciiTheme="majorBidi" w:hAnsiTheme="majorBidi" w:cstheme="majorBidi"/>
        </w:rPr>
        <w:t xml:space="preserve"> </w:t>
      </w:r>
      <w:r w:rsidRPr="003F1242">
        <w:rPr>
          <w:rFonts w:asciiTheme="majorBidi" w:hAnsiTheme="majorBidi" w:cstheme="majorBidi"/>
          <w:lang w:val="en-US"/>
        </w:rPr>
        <w:t xml:space="preserve">The objective of this study was to evaluate growth performance, carcass characteristic, serum biochemical parameters, scrotal, testicular and semen characteristics and hormonal profile of Markhoz </w:t>
      </w:r>
      <w:proofErr w:type="spellStart"/>
      <w:r w:rsidRPr="003F1242">
        <w:rPr>
          <w:rFonts w:asciiTheme="majorBidi" w:hAnsiTheme="majorBidi" w:cstheme="majorBidi"/>
          <w:lang w:val="en-US"/>
        </w:rPr>
        <w:t>buklings</w:t>
      </w:r>
      <w:proofErr w:type="spellEnd"/>
      <w:r w:rsidRPr="003F1242">
        <w:rPr>
          <w:rFonts w:asciiTheme="majorBidi" w:hAnsiTheme="majorBidi" w:cstheme="majorBidi"/>
          <w:lang w:val="en-US"/>
        </w:rPr>
        <w:t xml:space="preserve"> injected with LTZ. Twenty-eight 4-4.5 month old bucks during pre-puberty were randomly assigned into four groups and received either 0.25 mg/kg body weights LTZ subcutaneously (sc LTZ) or intramuscularly (im LTZ), or received a placebo sc (sc PLC) or im (im PLC) every week for 3 months. The growth data, blood samples and scrotal circumference measurement were collected at monthly intervals, and semen samples at weekly intervals (from week 10 to end of the treatment period).</w:t>
      </w:r>
    </w:p>
    <w:p w:rsidR="00467D6F" w:rsidRDefault="00467D6F" w:rsidP="00467D6F">
      <w:pPr>
        <w:snapToGrid w:val="0"/>
        <w:spacing w:after="0" w:line="480" w:lineRule="auto"/>
        <w:jc w:val="both"/>
        <w:rPr>
          <w:rFonts w:asciiTheme="majorBidi" w:hAnsiTheme="majorBidi" w:cstheme="majorBidi"/>
        </w:rPr>
      </w:pPr>
      <w:r w:rsidRPr="003F1242">
        <w:rPr>
          <w:rFonts w:asciiTheme="majorBidi" w:hAnsiTheme="majorBidi" w:cstheme="majorBidi"/>
          <w:b/>
          <w:bCs/>
          <w:lang w:val="en-US"/>
        </w:rPr>
        <w:t>Results:</w:t>
      </w:r>
      <w:r>
        <w:rPr>
          <w:rFonts w:asciiTheme="majorBidi" w:hAnsiTheme="majorBidi" w:cstheme="majorBidi"/>
          <w:b/>
          <w:bCs/>
          <w:lang w:val="en-US"/>
        </w:rPr>
        <w:t xml:space="preserve"> </w:t>
      </w:r>
      <w:r w:rsidRPr="003F1242">
        <w:rPr>
          <w:rFonts w:asciiTheme="majorBidi" w:hAnsiTheme="majorBidi" w:cstheme="majorBidi"/>
          <w:lang w:val="en-US"/>
        </w:rPr>
        <w:t xml:space="preserve">The results showed that LTZ causes increased final body weight, higher average daily gain and decreased feed conversion ratio </w:t>
      </w:r>
      <w:r w:rsidRPr="003F1242">
        <w:rPr>
          <w:rFonts w:asciiTheme="majorBidi" w:hAnsiTheme="majorBidi" w:cstheme="majorBidi"/>
        </w:rPr>
        <w:t xml:space="preserve">(p &lt;0.05). The pre-slaughter, hot and cold carcass weights were (p &lt;0.05) heavier while other carcass </w:t>
      </w:r>
      <w:r w:rsidRPr="003F1242">
        <w:rPr>
          <w:rFonts w:asciiTheme="majorBidi" w:hAnsiTheme="majorBidi" w:cstheme="majorBidi"/>
          <w:lang w:val="en-US"/>
        </w:rPr>
        <w:t>characteristics were not different</w:t>
      </w:r>
      <w:r w:rsidRPr="003F1242">
        <w:rPr>
          <w:rFonts w:asciiTheme="majorBidi" w:hAnsiTheme="majorBidi" w:cstheme="majorBidi"/>
        </w:rPr>
        <w:t xml:space="preserve"> in LTZ treated groups (P &gt;0.05)</w:t>
      </w:r>
      <w:r w:rsidRPr="003F1242">
        <w:rPr>
          <w:rFonts w:asciiTheme="majorBidi" w:hAnsiTheme="majorBidi" w:cstheme="majorBidi"/>
          <w:lang w:val="en-US"/>
        </w:rPr>
        <w:t xml:space="preserve">. There were no differences between groups for the biochemical parameters </w:t>
      </w:r>
      <w:r w:rsidRPr="003F1242">
        <w:rPr>
          <w:rFonts w:asciiTheme="majorBidi" w:hAnsiTheme="majorBidi" w:cstheme="majorBidi"/>
        </w:rPr>
        <w:t>(P &gt;0.05)</w:t>
      </w:r>
      <w:r w:rsidRPr="003F1242">
        <w:rPr>
          <w:rFonts w:asciiTheme="majorBidi" w:hAnsiTheme="majorBidi" w:cstheme="majorBidi"/>
          <w:lang w:val="en-US"/>
        </w:rPr>
        <w:t xml:space="preserve">, except for high-density lipoprotein levels which was higher in LTZ treatment </w:t>
      </w:r>
      <w:r w:rsidRPr="003F1242">
        <w:rPr>
          <w:rFonts w:asciiTheme="majorBidi" w:hAnsiTheme="majorBidi" w:cstheme="majorBidi"/>
        </w:rPr>
        <w:t xml:space="preserve">(p &lt;0.05). LTZ-treated bucks had larger scrotal circumference, higher testicular weight and volume, greater diameter of seminiferous tubules and number of </w:t>
      </w:r>
      <w:proofErr w:type="spellStart"/>
      <w:r w:rsidRPr="003F1242">
        <w:rPr>
          <w:rFonts w:asciiTheme="majorBidi" w:hAnsiTheme="majorBidi" w:cstheme="majorBidi"/>
        </w:rPr>
        <w:t>sertoli</w:t>
      </w:r>
      <w:proofErr w:type="spellEnd"/>
      <w:r w:rsidRPr="003F1242">
        <w:rPr>
          <w:rFonts w:asciiTheme="majorBidi" w:hAnsiTheme="majorBidi" w:cstheme="majorBidi"/>
        </w:rPr>
        <w:t xml:space="preserve"> cells (p &lt;0.05), and did not differ in epididymis and accessory gland weights (P &gt;0.05). </w:t>
      </w:r>
    </w:p>
    <w:p w:rsidR="00F30C5B" w:rsidRDefault="00F30C5B">
      <w:bookmarkStart w:id="0" w:name="_GoBack"/>
      <w:bookmarkEnd w:id="0"/>
    </w:p>
    <w:sectPr w:rsidR="00F30C5B" w:rsidSect="00835DD4">
      <w:type w:val="continuous"/>
      <w:pgSz w:w="12240" w:h="15840" w:code="1"/>
      <w:pgMar w:top="1440" w:right="1440" w:bottom="1440" w:left="1440" w:header="709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6F"/>
    <w:rsid w:val="00467D6F"/>
    <w:rsid w:val="0078694D"/>
    <w:rsid w:val="00835DD4"/>
    <w:rsid w:val="009876B1"/>
    <w:rsid w:val="00F3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7FD0F-087B-42D7-AEB6-FD62343A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D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micropardaz</dc:creator>
  <cp:keywords/>
  <dc:description/>
  <cp:lastModifiedBy>micropardaz</cp:lastModifiedBy>
  <cp:revision>1</cp:revision>
  <dcterms:created xsi:type="dcterms:W3CDTF">2019-12-14T18:25:00Z</dcterms:created>
  <dcterms:modified xsi:type="dcterms:W3CDTF">2019-12-14T18:25:00Z</dcterms:modified>
</cp:coreProperties>
</file>