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Times New Roman"/>
        </w:rPr>
      </w:pPr>
      <w:r>
        <w:rPr>
          <w:rFonts w:ascii="Times New Roman" w:hAnsi="Times New Roman"/>
          <w:sz w:val="24"/>
          <w:szCs w:val="24"/>
        </w:rPr>
        <w:t>Physiological response of Nigerian indigenous hen fed diet with graded levels of turmeric powder.</w:t>
      </w:r>
      <w:r>
        <w:rPr>
          <w:rFonts w:ascii="Times New Roman" w:hAnsi="Times New Roman"/>
          <w:b/>
          <w:bCs/>
          <w:sz w:val="24"/>
          <w:szCs w:val="24"/>
        </w:rPr>
        <w:t xml:space="preserve"> (</w:t>
      </w:r>
      <w:r>
        <w:rPr>
          <w:rFonts w:ascii="Times New Roman" w:hAnsi="Times New Roman"/>
          <w:b/>
          <w:bCs/>
          <w:i/>
          <w:iCs/>
          <w:sz w:val="24"/>
          <w:szCs w:val="24"/>
        </w:rPr>
        <w:t>CURCUMA LONGA</w:t>
      </w:r>
      <w:r>
        <w:rPr>
          <w:rFonts w:ascii="Times New Roman" w:hAnsi="Times New Roman"/>
          <w:b/>
          <w:bCs/>
          <w:sz w:val="24"/>
          <w:szCs w:val="24"/>
        </w:rPr>
        <w:t>)</w:t>
      </w:r>
    </w:p>
    <w:p>
      <w:pPr>
        <w:autoSpaceDE w:val="0"/>
        <w:autoSpaceDN w:val="0"/>
        <w:adjustRightInd w:val="0"/>
        <w:spacing w:after="0"/>
        <w:rPr>
          <w:rFonts w:ascii="Times New Roman" w:hAnsi="Times New Roman" w:eastAsia="Calibri"/>
          <w:b/>
          <w:bCs/>
          <w:color w:val="000000"/>
          <w:sz w:val="24"/>
          <w:szCs w:val="24"/>
        </w:rPr>
      </w:pPr>
      <w:r>
        <w:rPr>
          <w:rFonts w:ascii="Times New Roman" w:hAnsi="Times New Roman"/>
          <w:sz w:val="24"/>
          <w:szCs w:val="24"/>
        </w:rPr>
        <w:t>Urom  S.M.O C,,</w:t>
      </w:r>
      <w:r>
        <w:rPr>
          <w:rFonts w:ascii="Times New Roman" w:hAnsi="Times New Roman" w:eastAsia="Calibri"/>
          <w:b/>
          <w:bCs/>
          <w:color w:val="000000"/>
          <w:sz w:val="24"/>
          <w:szCs w:val="24"/>
        </w:rPr>
        <w:t xml:space="preserve"> Udo, G. D and Okoro B.A.</w:t>
      </w:r>
    </w:p>
    <w:p>
      <w:pPr>
        <w:jc w:val="both"/>
        <w:rPr>
          <w:rFonts w:ascii="Times New Roman" w:hAnsi="Times New Roman"/>
          <w:sz w:val="24"/>
          <w:szCs w:val="24"/>
        </w:rPr>
      </w:pPr>
      <w:r>
        <w:rPr>
          <w:rFonts w:ascii="Times New Roman" w:hAnsi="Times New Roman"/>
          <w:sz w:val="24"/>
          <w:szCs w:val="24"/>
        </w:rPr>
        <w:t xml:space="preserve">Department of Animal Breeding and Physiology,College of Animal Science and Production, Micheal Okpara University of Agriculture Umudike,Abia State Nigeria </w:t>
      </w:r>
    </w:p>
    <w:p>
      <w:pPr>
        <w:jc w:val="both"/>
        <w:rPr>
          <w:rFonts w:hint="default" w:ascii="Times New Roman" w:hAnsi="Times New Roman" w:eastAsia="Calibri"/>
          <w:sz w:val="24"/>
          <w:szCs w:val="24"/>
          <w:lang w:val="en-US"/>
        </w:rPr>
      </w:pPr>
      <w:r>
        <w:rPr>
          <w:rFonts w:ascii="Times New Roman" w:hAnsi="Times New Roman" w:eastAsia="Calibri"/>
          <w:sz w:val="24"/>
          <w:szCs w:val="24"/>
        </w:rPr>
        <w:t>Corresponding author-  scholtica@gmail.com</w:t>
      </w:r>
      <w:r>
        <w:rPr>
          <w:rFonts w:hint="default" w:ascii="Times New Roman" w:hAnsi="Times New Roman" w:eastAsia="Calibri"/>
          <w:sz w:val="24"/>
          <w:szCs w:val="24"/>
          <w:lang w:val="en-US"/>
        </w:rPr>
        <w:t>.</w:t>
      </w:r>
    </w:p>
    <w:p>
      <w:pPr>
        <w:jc w:val="both"/>
        <w:rPr>
          <w:rFonts w:hint="default" w:ascii="Times New Roman" w:hAnsi="Times New Roman"/>
          <w:sz w:val="24"/>
          <w:szCs w:val="24"/>
          <w:lang w:val="en-US"/>
        </w:rPr>
      </w:pPr>
      <w:r>
        <w:rPr>
          <w:rFonts w:hint="default" w:ascii="Times New Roman" w:hAnsi="Times New Roman" w:eastAsia="Calibri"/>
          <w:sz w:val="24"/>
          <w:szCs w:val="24"/>
          <w:lang w:val="en-US"/>
        </w:rPr>
        <w:t>Keywords-Nigerian I</w:t>
      </w:r>
      <w:bookmarkStart w:id="0" w:name="_GoBack"/>
      <w:bookmarkEnd w:id="0"/>
      <w:r>
        <w:rPr>
          <w:rFonts w:hint="default" w:ascii="Times New Roman" w:hAnsi="Times New Roman" w:eastAsia="Calibri"/>
          <w:sz w:val="24"/>
          <w:szCs w:val="24"/>
          <w:lang w:val="en-US"/>
        </w:rPr>
        <w:t>ndegenous hens,Tumeric,Haematological Assay,Serum Biochemistry and Growth performance</w:t>
      </w:r>
    </w:p>
    <w:p>
      <w:pPr>
        <w:jc w:val="both"/>
        <w:rPr>
          <w:rFonts w:ascii="Times New Roman" w:hAnsi="Times New Roman" w:eastAsia="Calibri"/>
          <w:b/>
          <w:bCs/>
          <w:sz w:val="24"/>
          <w:szCs w:val="24"/>
        </w:rPr>
      </w:pPr>
      <w:r>
        <w:rPr>
          <w:rFonts w:ascii="Times New Roman" w:hAnsi="Times New Roman" w:eastAsia="Calibri"/>
          <w:b/>
          <w:bCs/>
          <w:sz w:val="24"/>
          <w:szCs w:val="24"/>
        </w:rPr>
        <w:t xml:space="preserve">                                                        </w:t>
      </w:r>
    </w:p>
    <w:p>
      <w:pPr>
        <w:jc w:val="both"/>
        <w:rPr>
          <w:rFonts w:ascii="Times New Roman" w:hAnsi="Times New Roman" w:eastAsia="Calibri"/>
          <w:b/>
          <w:bCs/>
          <w:sz w:val="24"/>
          <w:szCs w:val="24"/>
        </w:rPr>
      </w:pPr>
      <w:r>
        <w:rPr>
          <w:rFonts w:ascii="Times New Roman" w:hAnsi="Times New Roman" w:eastAsia="Calibri"/>
          <w:b/>
          <w:bCs/>
          <w:sz w:val="24"/>
          <w:szCs w:val="24"/>
        </w:rPr>
        <w:t xml:space="preserve">                                                                     </w:t>
      </w:r>
      <w:r>
        <w:rPr>
          <w:rFonts w:ascii="Times New Roman" w:hAnsi="Times New Roman"/>
          <w:b/>
          <w:bCs/>
          <w:sz w:val="24"/>
          <w:szCs w:val="24"/>
        </w:rPr>
        <w:t>ABSTRACT</w:t>
      </w:r>
    </w:p>
    <w:p>
      <w:r>
        <w:rPr>
          <w:rFonts w:ascii="Times New Roman" w:hAnsi="Times New Roman"/>
          <w:sz w:val="24"/>
          <w:szCs w:val="24"/>
        </w:rPr>
        <w:t>This study was conducted to evaluate the physiological response of Nigerian indigenous chicken fed diet with graded levels of turmeric powder. T</w:t>
      </w:r>
      <w:r>
        <w:rPr>
          <w:rFonts w:hint="default" w:ascii="Times New Roman" w:hAnsi="Times New Roman"/>
          <w:sz w:val="24"/>
          <w:szCs w:val="24"/>
          <w:lang w:val="en-US"/>
        </w:rPr>
        <w:t>he research was done</w:t>
      </w:r>
      <w:r>
        <w:rPr>
          <w:rFonts w:ascii="Times New Roman" w:hAnsi="Times New Roman"/>
          <w:sz w:val="24"/>
          <w:szCs w:val="24"/>
        </w:rPr>
        <w:t xml:space="preserve"> to determine the effect of turmeric powder on the growth performance, haematology, and serum biochemistry. One hundred and twenty (120) adult local hens divided into four (4) treatment groups with 30 birds per  group in a Complete Randomized Design were used for this research.Each treatment group was further replicated into 3 of 10 birds per replicate. The birds in the experimental groups were designated as T</w:t>
      </w:r>
      <w:r>
        <w:rPr>
          <w:rFonts w:ascii="Times New Roman" w:hAnsi="Times New Roman"/>
          <w:sz w:val="24"/>
          <w:szCs w:val="24"/>
          <w:vertAlign w:val="subscript"/>
        </w:rPr>
        <w:t>1</w:t>
      </w:r>
      <w:r>
        <w:rPr>
          <w:rFonts w:ascii="Times New Roman" w:hAnsi="Times New Roman"/>
          <w:sz w:val="24"/>
          <w:szCs w:val="24"/>
        </w:rPr>
        <w:t>, T</w:t>
      </w:r>
      <w:r>
        <w:rPr>
          <w:rFonts w:ascii="Times New Roman" w:hAnsi="Times New Roman"/>
          <w:sz w:val="24"/>
          <w:szCs w:val="24"/>
          <w:vertAlign w:val="subscript"/>
        </w:rPr>
        <w:t>2</w:t>
      </w:r>
      <w:r>
        <w:rPr>
          <w:rFonts w:ascii="Times New Roman" w:hAnsi="Times New Roman"/>
          <w:sz w:val="24"/>
          <w:szCs w:val="24"/>
        </w:rPr>
        <w:t>, T</w:t>
      </w:r>
      <w:r>
        <w:rPr>
          <w:rFonts w:ascii="Times New Roman" w:hAnsi="Times New Roman"/>
          <w:sz w:val="24"/>
          <w:szCs w:val="24"/>
          <w:vertAlign w:val="subscript"/>
        </w:rPr>
        <w:t>3</w:t>
      </w:r>
      <w:r>
        <w:rPr>
          <w:rFonts w:ascii="Times New Roman" w:hAnsi="Times New Roman"/>
          <w:sz w:val="24"/>
          <w:szCs w:val="24"/>
        </w:rPr>
        <w:t>, and T</w:t>
      </w:r>
      <w:r>
        <w:rPr>
          <w:rFonts w:ascii="Times New Roman" w:hAnsi="Times New Roman"/>
          <w:sz w:val="24"/>
          <w:szCs w:val="24"/>
          <w:vertAlign w:val="subscript"/>
        </w:rPr>
        <w:t xml:space="preserve">4.  </w:t>
      </w:r>
      <w:r>
        <w:rPr>
          <w:rFonts w:ascii="Times New Roman" w:hAnsi="Times New Roman"/>
          <w:sz w:val="24"/>
          <w:szCs w:val="24"/>
        </w:rPr>
        <w:t>Group</w:t>
      </w:r>
      <w:r>
        <w:rPr>
          <w:rFonts w:ascii="Times New Roman" w:hAnsi="Times New Roman"/>
          <w:sz w:val="24"/>
          <w:szCs w:val="24"/>
          <w:vertAlign w:val="subscript"/>
        </w:rPr>
        <w:t xml:space="preserve"> </w:t>
      </w:r>
      <w:r>
        <w:rPr>
          <w:rFonts w:ascii="Times New Roman" w:hAnsi="Times New Roman"/>
          <w:sz w:val="24"/>
          <w:szCs w:val="24"/>
        </w:rPr>
        <w:t>T</w:t>
      </w:r>
      <w:r>
        <w:rPr>
          <w:rFonts w:ascii="Times New Roman" w:hAnsi="Times New Roman"/>
          <w:sz w:val="24"/>
          <w:szCs w:val="24"/>
          <w:vertAlign w:val="subscript"/>
        </w:rPr>
        <w:t xml:space="preserve">1 </w:t>
      </w:r>
      <w:r>
        <w:rPr>
          <w:rFonts w:ascii="Times New Roman" w:hAnsi="Times New Roman"/>
          <w:sz w:val="24"/>
          <w:szCs w:val="24"/>
        </w:rPr>
        <w:t>served as the control group (0.0%) Tumeric ,</w:t>
      </w:r>
      <w:r>
        <w:rPr>
          <w:rFonts w:ascii="Times New Roman" w:hAnsi="Times New Roman"/>
          <w:sz w:val="24"/>
          <w:szCs w:val="24"/>
          <w:vertAlign w:val="subscript"/>
        </w:rPr>
        <w:t xml:space="preserve"> </w:t>
      </w:r>
      <w:r>
        <w:rPr>
          <w:rFonts w:ascii="Times New Roman" w:hAnsi="Times New Roman"/>
          <w:sz w:val="24"/>
          <w:szCs w:val="24"/>
        </w:rPr>
        <w:t>while groups T</w:t>
      </w:r>
      <w:r>
        <w:rPr>
          <w:rFonts w:ascii="Times New Roman" w:hAnsi="Times New Roman"/>
          <w:sz w:val="24"/>
          <w:szCs w:val="24"/>
          <w:vertAlign w:val="subscript"/>
        </w:rPr>
        <w:t>2</w:t>
      </w:r>
      <w:r>
        <w:rPr>
          <w:rFonts w:ascii="Times New Roman" w:hAnsi="Times New Roman"/>
          <w:sz w:val="24"/>
          <w:szCs w:val="24"/>
        </w:rPr>
        <w:t>, T</w:t>
      </w:r>
      <w:r>
        <w:rPr>
          <w:rFonts w:ascii="Times New Roman" w:hAnsi="Times New Roman"/>
          <w:sz w:val="24"/>
          <w:szCs w:val="24"/>
          <w:vertAlign w:val="subscript"/>
        </w:rPr>
        <w:t>3</w:t>
      </w:r>
      <w:r>
        <w:rPr>
          <w:rFonts w:ascii="Times New Roman" w:hAnsi="Times New Roman"/>
          <w:sz w:val="24"/>
          <w:szCs w:val="24"/>
        </w:rPr>
        <w:t>, and T</w:t>
      </w:r>
      <w:r>
        <w:rPr>
          <w:rFonts w:ascii="Times New Roman" w:hAnsi="Times New Roman"/>
          <w:sz w:val="24"/>
          <w:szCs w:val="24"/>
          <w:vertAlign w:val="subscript"/>
        </w:rPr>
        <w:t xml:space="preserve">4 </w:t>
      </w:r>
      <w:r>
        <w:rPr>
          <w:rFonts w:ascii="Times New Roman" w:hAnsi="Times New Roman"/>
          <w:sz w:val="24"/>
          <w:szCs w:val="24"/>
        </w:rPr>
        <w:t>were fed with turmeric supplemented diet at various inclusion levels of 0.25%, 0.50 %, and 0.75%, respectively, for 84 days. The  blood samples collected from the treatment groups and analyzed showed significant (p&lt;0.05) increase in the haematolog</w:t>
      </w:r>
      <w:r>
        <w:rPr>
          <w:rFonts w:hint="default" w:ascii="Times New Roman" w:hAnsi="Times New Roman"/>
          <w:sz w:val="24"/>
          <w:szCs w:val="24"/>
          <w:lang w:val="en-US"/>
        </w:rPr>
        <w:t>ical</w:t>
      </w:r>
      <w:r>
        <w:rPr>
          <w:rFonts w:ascii="Times New Roman" w:hAnsi="Times New Roman"/>
          <w:sz w:val="24"/>
          <w:szCs w:val="24"/>
        </w:rPr>
        <w:t xml:space="preserve"> parameters which showed RBC(3.53) in T3 and PCV(42.00) in T4 to be significantly higher(p&lt;0.0.05) than all other treatment groups,respectively.White Blood Cell (WBC) in T4 was significantly (p&lt;0.05) higher than all other treatment groups. Serum total protein(4.21) and albumin(2.66) were also significantly (p&lt;0.05) higher in T4 than all other groups , whereas the serum cholesterol and glucose concentration were gradually (p&gt;0.05) decreased as the inclusion levels of tumeric increased.  It reduced from 101.87 in T1 to 84.66 in T4 in cholesterol  and from  140.33 in control to 129.33 in T4. The growth performance was significantly (p&lt;0.05) improved with increas in Tumeric level with an average live weight of 1.23 kg in T4 compared to 0.98 kg average live weight in control group .Also feed conversion ratio decreased with increased in Tumeric powder from 1.86+0.15 in the control to 0.55+0.006 in T4. In conclusion, turmeric supplemented diet at 0.25, and 0.5 % inclusions performed better in improving the growth performance and reducing cholesterol </w:t>
      </w:r>
      <w:r>
        <w:rPr>
          <w:rFonts w:hint="default" w:ascii="Times New Roman" w:hAnsi="Times New Roman"/>
          <w:sz w:val="24"/>
          <w:szCs w:val="24"/>
          <w:lang w:val="en-US"/>
        </w:rPr>
        <w:t xml:space="preserve">in </w:t>
      </w:r>
      <w:r>
        <w:rPr>
          <w:rFonts w:ascii="Times New Roman" w:hAnsi="Times New Roman"/>
          <w:sz w:val="24"/>
          <w:szCs w:val="24"/>
        </w:rPr>
        <w:t>Nigerian indigenous hens with no deleterious effect on the blood profile of the treated birds</w:t>
      </w:r>
      <w:r>
        <w:rPr>
          <w:rFonts w:hint="default" w:ascii="Times New Roman" w:hAnsi="Times New Roman"/>
          <w:sz w:val="24"/>
          <w:szCs w:val="24"/>
          <w:lang w:val="en-US"/>
        </w:rPr>
        <w:t>.</w:t>
      </w:r>
      <w:r>
        <w:rPr>
          <w:rFonts w:ascii="Times New Roman" w:hAnsi="Times New Roman"/>
          <w:sz w:val="24"/>
          <w:szCs w:val="24"/>
        </w:rPr>
        <w:t xml:space="preserve"> From the study, to achieve a better growth performance of the Nigerian indigenous hens, 0.5 % inclusion level is highly recommended.</w:t>
      </w:r>
    </w:p>
    <w:p/>
    <w:sectPr>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753"/>
    <w:rsid w:val="002E4E6C"/>
    <w:rsid w:val="006E520F"/>
    <w:rsid w:val="00735EB2"/>
    <w:rsid w:val="00C14F45"/>
    <w:rsid w:val="00D94753"/>
    <w:rsid w:val="112E7043"/>
    <w:rsid w:val="2B9F6F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00" w:beforeAutospacing="1" w:after="200" w:line="271" w:lineRule="auto"/>
    </w:pPr>
    <w:rPr>
      <w:rFonts w:ascii="Calibri" w:hAnsi="Calibri" w:eastAsia="SimSun" w:cs="Times New Roman"/>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425</Words>
  <Characters>2427</Characters>
  <Lines>20</Lines>
  <Paragraphs>5</Paragraphs>
  <TotalTime>9</TotalTime>
  <ScaleCrop>false</ScaleCrop>
  <LinksUpToDate>false</LinksUpToDate>
  <CharactersWithSpaces>2847</CharactersWithSpaces>
  <Application>WPS Office_11.2.0.9052_F1E327BC-269C-435d-A152-05C5408002CA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2019-11-25T22:21:00Z</dcterms:created>
  <dc:creator>Dr. Scholar</dc:creator>
  <cp:lastModifiedBy>Dr. Scholar</cp:lastModifiedBy>
  <dcterms:modified xsi:type="dcterms:W3CDTF">2019-11-26T19:30:10Z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1033-11.2.0.9052</vt:lpwstr>
  </property>
</Properties>
</file>