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B38" w:rsidRPr="002D3B38" w:rsidRDefault="002D3B38" w:rsidP="002D3B38">
      <w:pPr>
        <w:pStyle w:val="Heading1"/>
        <w:spacing w:before="170"/>
        <w:ind w:left="0"/>
        <w:rPr>
          <w:color w:val="4F81BD" w:themeColor="accent1"/>
          <w:sz w:val="32"/>
        </w:rPr>
      </w:pPr>
      <w:r w:rsidRPr="002D3B38">
        <w:rPr>
          <w:bCs w:val="0"/>
          <w:color w:val="4F81BD" w:themeColor="accent1"/>
          <w:szCs w:val="40"/>
        </w:rPr>
        <w:t>Evaluation of the safety and efficacy of combined Newcastle disease, fowl pox and fowl typhoid vaccine under laboratory condition</w:t>
      </w:r>
    </w:p>
    <w:p w:rsidR="002D3B38" w:rsidRPr="002D3B38" w:rsidRDefault="002D3B38" w:rsidP="002D3B38">
      <w:pPr>
        <w:pStyle w:val="BodyText"/>
        <w:spacing w:before="73" w:line="198" w:lineRule="exact"/>
        <w:ind w:left="100" w:right="5987"/>
        <w:rPr>
          <w:rFonts w:ascii="Arial" w:hAnsi="Arial" w:cs="Arial"/>
        </w:rPr>
      </w:pPr>
      <w:r w:rsidRPr="002D3B38">
        <w:rPr>
          <w:rFonts w:ascii="Arial" w:hAnsi="Arial" w:cs="Arial"/>
          <w:bCs/>
          <w:szCs w:val="23"/>
        </w:rPr>
        <w:t>Hana Tadesse</w:t>
      </w:r>
      <w:r>
        <w:rPr>
          <w:rFonts w:ascii="Arial" w:hAnsi="Arial" w:cs="Arial"/>
          <w:bCs/>
          <w:szCs w:val="23"/>
        </w:rPr>
        <w:t xml:space="preserve"> Seifu, DVM, MSc, southern agricultural research institute (SARI), Ethiopia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2A299E" w:rsidRDefault="00A9710C" w:rsidP="002A299E">
      <w:pPr>
        <w:pStyle w:val="Heading3"/>
        <w:spacing w:before="147"/>
        <w:jc w:val="both"/>
      </w:pPr>
      <w:r>
        <w:rPr>
          <w:color w:val="BF5A14"/>
        </w:rPr>
        <w:lastRenderedPageBreak/>
        <w:t>Abstract</w:t>
      </w:r>
      <w:r w:rsidR="00404E5B">
        <w:rPr>
          <w:color w:val="BF5A14"/>
        </w:rPr>
        <w:t xml:space="preserve"> (300 word limit)</w:t>
      </w:r>
    </w:p>
    <w:p w:rsidR="00120258" w:rsidRPr="00120258" w:rsidRDefault="00120258" w:rsidP="00120258">
      <w:pPr>
        <w:pStyle w:val="Default"/>
        <w:jc w:val="both"/>
        <w:rPr>
          <w:rFonts w:ascii="Tw Cen MT" w:hAnsi="Tw Cen MT"/>
          <w:sz w:val="18"/>
          <w:szCs w:val="18"/>
        </w:rPr>
      </w:pPr>
      <w:r w:rsidRPr="00120258">
        <w:rPr>
          <w:rFonts w:ascii="Tw Cen MT" w:hAnsi="Tw Cen MT"/>
          <w:sz w:val="18"/>
          <w:szCs w:val="18"/>
        </w:rPr>
        <w:t xml:space="preserve">Statement of the Problem: In Ethiopia, individual/separate vaccination program of ND, FP and FT has been practiced for years. These vaccination strategies has several constraints like stress during individual handling, vaccination cost, number of inoculations, compliance to the vaccine schedule and logistic costs. Methodology &amp; Theoretical Orientation: </w:t>
      </w:r>
      <w:r w:rsidRPr="00120258">
        <w:rPr>
          <w:rFonts w:ascii="Tw Cen MT" w:hAnsi="Tw Cen MT"/>
          <w:bCs/>
          <w:sz w:val="18"/>
          <w:szCs w:val="18"/>
        </w:rPr>
        <w:t xml:space="preserve">An experimental study was conducted to evaluate the safety and efficacy of combined ND, FP and FT vaccine. The vaccine was prepared using the Lasota strain of NDV, the FP strain of FPV and the 9R strain of FT. </w:t>
      </w:r>
      <w:r w:rsidRPr="00120258">
        <w:rPr>
          <w:rFonts w:ascii="Tw Cen MT" w:hAnsi="Tw Cen MT"/>
          <w:sz w:val="18"/>
          <w:szCs w:val="18"/>
        </w:rPr>
        <w:t xml:space="preserve">Findings:  </w:t>
      </w:r>
      <w:r w:rsidRPr="00120258">
        <w:rPr>
          <w:rFonts w:ascii="Tw Cen MT" w:hAnsi="Tw Cen MT"/>
          <w:bCs/>
          <w:sz w:val="18"/>
          <w:szCs w:val="18"/>
        </w:rPr>
        <w:t>The vaccine was found safe, as no clinical signs or mortalities were observed. Post vaccination HI titre for ND was above the required protection level (≥1:16) and its geometric means (GM) were 0.0098, 0.0063 and 0.0059 for group one, two and three respectively, who received conventional and combined vaccine. The difference in GM between the three vaccinated groups were not significant (</w:t>
      </w:r>
      <w:r w:rsidRPr="00120258">
        <w:rPr>
          <w:rFonts w:ascii="Tw Cen MT" w:hAnsi="Tw Cen MT"/>
          <w:bCs/>
          <w:i/>
          <w:iCs/>
          <w:sz w:val="18"/>
          <w:szCs w:val="18"/>
        </w:rPr>
        <w:t>p</w:t>
      </w:r>
      <w:r w:rsidRPr="00120258">
        <w:rPr>
          <w:rFonts w:ascii="Tw Cen MT" w:hAnsi="Tw Cen MT"/>
          <w:bCs/>
          <w:sz w:val="18"/>
          <w:szCs w:val="18"/>
        </w:rPr>
        <w:t>=0.544). The trivalent combined vaccine did not show significant difference in the HI titre result among the groups that were given conventional vaccines and the other two experimental groups which received trivalent vaccine (</w:t>
      </w:r>
      <w:r w:rsidRPr="00120258">
        <w:rPr>
          <w:rFonts w:ascii="Tw Cen MT" w:hAnsi="Tw Cen MT"/>
          <w:bCs/>
          <w:i/>
          <w:iCs/>
          <w:sz w:val="18"/>
          <w:szCs w:val="18"/>
        </w:rPr>
        <w:t>p</w:t>
      </w:r>
      <w:r w:rsidRPr="00120258">
        <w:rPr>
          <w:rFonts w:ascii="Tw Cen MT" w:hAnsi="Tw Cen MT"/>
          <w:bCs/>
          <w:sz w:val="18"/>
          <w:szCs w:val="18"/>
        </w:rPr>
        <w:t>=0.257). From 75 samples, 73 (97.3%) were positive for FT through rapid slide agglutination test. The chicks were challenged separately for the three diseases using the specific pathogens. Both combined and conventional vaccine conferred protection upon challenge. For ND challenge, 93.3% (</w:t>
      </w:r>
      <w:r w:rsidRPr="00120258">
        <w:rPr>
          <w:rFonts w:ascii="Tw Cen MT" w:hAnsi="Tw Cen MT"/>
          <w:bCs/>
          <w:i/>
          <w:iCs/>
          <w:sz w:val="18"/>
          <w:szCs w:val="18"/>
        </w:rPr>
        <w:t>n</w:t>
      </w:r>
      <w:r w:rsidRPr="00120258">
        <w:rPr>
          <w:rFonts w:ascii="Tw Cen MT" w:hAnsi="Tw Cen MT"/>
          <w:bCs/>
          <w:sz w:val="18"/>
          <w:szCs w:val="18"/>
        </w:rPr>
        <w:t>=14/15) of the control groups died. From FT and FP control groups 86.6% (</w:t>
      </w:r>
      <w:r w:rsidRPr="00120258">
        <w:rPr>
          <w:rFonts w:ascii="Tw Cen MT" w:hAnsi="Tw Cen MT"/>
          <w:bCs/>
          <w:i/>
          <w:iCs/>
          <w:sz w:val="18"/>
          <w:szCs w:val="18"/>
        </w:rPr>
        <w:t>n</w:t>
      </w:r>
      <w:r w:rsidRPr="00120258">
        <w:rPr>
          <w:rFonts w:ascii="Tw Cen MT" w:hAnsi="Tw Cen MT"/>
          <w:bCs/>
          <w:sz w:val="18"/>
          <w:szCs w:val="18"/>
        </w:rPr>
        <w:t>=13/15) and 20% (</w:t>
      </w:r>
      <w:r w:rsidRPr="00120258">
        <w:rPr>
          <w:rFonts w:ascii="Tw Cen MT" w:hAnsi="Tw Cen MT"/>
          <w:bCs/>
          <w:i/>
          <w:iCs/>
          <w:sz w:val="18"/>
          <w:szCs w:val="18"/>
        </w:rPr>
        <w:t>n</w:t>
      </w:r>
      <w:r w:rsidRPr="00120258">
        <w:rPr>
          <w:rFonts w:ascii="Tw Cen MT" w:hAnsi="Tw Cen MT"/>
          <w:bCs/>
          <w:sz w:val="18"/>
          <w:szCs w:val="18"/>
        </w:rPr>
        <w:t>=3/15) respectively died up on challenge. Both combined and conventional vaccine type conferred a similar and good level of protection. However, the use of combined vaccine has considerable advantage particularly in terms of convenience and cost effectiveness to control multiple diseases through simple immunization schedule. Further studies were recommended on the development of combined avian vaccines in Ethiopia.</w:t>
      </w:r>
    </w:p>
    <w:p w:rsidR="00AE3E37" w:rsidRDefault="00A9710C">
      <w:pPr>
        <w:pStyle w:val="Heading3"/>
        <w:spacing w:before="74"/>
      </w:pPr>
      <w:r>
        <w:rPr>
          <w:b w:val="0"/>
        </w:rPr>
        <w:br w:type="column"/>
      </w:r>
      <w:r>
        <w:rPr>
          <w:color w:val="BF5A14"/>
        </w:rPr>
        <w:lastRenderedPageBreak/>
        <w:t>Image</w:t>
      </w:r>
    </w:p>
    <w:p w:rsidR="00D112E6" w:rsidRDefault="00D112E6">
      <w:pPr>
        <w:pStyle w:val="BodyText"/>
        <w:spacing w:before="2"/>
        <w:rPr>
          <w:rFonts w:ascii="Arial"/>
          <w:b/>
          <w:sz w:val="16"/>
        </w:rPr>
      </w:pPr>
    </w:p>
    <w:p w:rsidR="005E4A2E" w:rsidRDefault="005E4A2E" w:rsidP="005E4A2E">
      <w:pPr>
        <w:pStyle w:val="BodyText"/>
        <w:keepNext/>
        <w:spacing w:before="2"/>
      </w:pPr>
      <w:r w:rsidRPr="005E4A2E">
        <w:rPr>
          <w:rFonts w:ascii="Arial"/>
          <w:b/>
          <w:sz w:val="16"/>
        </w:rPr>
        <w:drawing>
          <wp:inline distT="0" distB="0" distL="0" distR="0">
            <wp:extent cx="3317916" cy="1496291"/>
            <wp:effectExtent l="19050" t="0" r="0" b="0"/>
            <wp:docPr id="4" name="Picture 6" descr="DSC0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2443"/>
                    <pic:cNvPicPr>
                      <a:picLocks noChangeAspect="1" noChangeArrowheads="1"/>
                    </pic:cNvPicPr>
                  </pic:nvPicPr>
                  <pic:blipFill>
                    <a:blip r:embed="rId9"/>
                    <a:srcRect/>
                    <a:stretch>
                      <a:fillRect/>
                    </a:stretch>
                  </pic:blipFill>
                  <pic:spPr bwMode="auto">
                    <a:xfrm>
                      <a:off x="0" y="0"/>
                      <a:ext cx="3324347" cy="1499191"/>
                    </a:xfrm>
                    <a:prstGeom prst="rect">
                      <a:avLst/>
                    </a:prstGeom>
                    <a:noFill/>
                    <a:ln w="9525">
                      <a:noFill/>
                      <a:miter lim="800000"/>
                      <a:headEnd/>
                      <a:tailEnd/>
                    </a:ln>
                  </pic:spPr>
                </pic:pic>
              </a:graphicData>
            </a:graphic>
          </wp:inline>
        </w:drawing>
      </w:r>
    </w:p>
    <w:p w:rsidR="005E4A2E" w:rsidRPr="005E4A2E" w:rsidRDefault="005E4A2E" w:rsidP="005E4A2E">
      <w:pPr>
        <w:pStyle w:val="Caption"/>
      </w:pPr>
      <w:r w:rsidRPr="005E4A2E">
        <w:t xml:space="preserve">Figure </w:t>
      </w:r>
      <w:fldSimple w:instr=" SEQ Figure \* ARABIC ">
        <w:r w:rsidRPr="005E4A2E">
          <w:rPr>
            <w:noProof/>
          </w:rPr>
          <w:t>1</w:t>
        </w:r>
      </w:fldSimple>
      <w:r w:rsidRPr="005E4A2E">
        <w:t>: Prostration of head and neck of a bird that died from NDV infection.</w:t>
      </w:r>
    </w:p>
    <w:p w:rsidR="005973B9" w:rsidRDefault="005973B9" w:rsidP="005E4A2E">
      <w:pPr>
        <w:pStyle w:val="Caption"/>
        <w:rPr>
          <w:rFonts w:ascii="Arial"/>
          <w:color w:val="BF5A14"/>
          <w:sz w:val="20"/>
        </w:rPr>
      </w:pPr>
      <w:r>
        <w:rPr>
          <w:rFonts w:ascii="Arial"/>
          <w:color w:val="BF5A14"/>
          <w:sz w:val="20"/>
        </w:rPr>
        <w:t>Recent Publications (minimum 5)</w:t>
      </w:r>
    </w:p>
    <w:p w:rsidR="00934B0F" w:rsidRPr="00934B0F" w:rsidRDefault="00934B0F" w:rsidP="00E80E37">
      <w:pPr>
        <w:pStyle w:val="ListParagraph"/>
        <w:numPr>
          <w:ilvl w:val="0"/>
          <w:numId w:val="3"/>
        </w:numPr>
        <w:rPr>
          <w:rFonts w:asciiTheme="minorHAnsi" w:hAnsiTheme="minorHAnsi"/>
          <w:sz w:val="18"/>
          <w:szCs w:val="18"/>
        </w:rPr>
      </w:pPr>
      <w:r w:rsidRPr="00934B0F">
        <w:rPr>
          <w:rFonts w:asciiTheme="minorHAnsi" w:hAnsiTheme="minorHAnsi"/>
          <w:sz w:val="18"/>
          <w:szCs w:val="18"/>
        </w:rPr>
        <w:t xml:space="preserve">Hana Tadesse, Senait Belete Benti Deressa (2018) Evaluation of the safety and efficacy of combined Newcastle disease, fowl pox and fowl typhoid vaccine under laboratory condition. </w:t>
      </w:r>
      <w:r w:rsidRPr="00934B0F">
        <w:rPr>
          <w:rFonts w:asciiTheme="minorHAnsi" w:hAnsiTheme="minorHAnsi" w:cs="Arial"/>
          <w:sz w:val="18"/>
          <w:szCs w:val="18"/>
          <w:shd w:val="clear" w:color="auto" w:fill="FFFFFF"/>
        </w:rPr>
        <w:t>JVMAH</w:t>
      </w:r>
      <w:r w:rsidRPr="00934B0F">
        <w:rPr>
          <w:rFonts w:asciiTheme="minorHAnsi" w:hAnsiTheme="minorHAnsi"/>
          <w:sz w:val="18"/>
          <w:szCs w:val="18"/>
        </w:rPr>
        <w:t xml:space="preserve"> 10</w:t>
      </w:r>
      <w:r>
        <w:rPr>
          <w:rFonts w:asciiTheme="minorHAnsi" w:hAnsiTheme="minorHAnsi"/>
          <w:sz w:val="18"/>
          <w:szCs w:val="18"/>
        </w:rPr>
        <w:t>:</w:t>
      </w:r>
      <w:r w:rsidRPr="00934B0F">
        <w:rPr>
          <w:rFonts w:asciiTheme="minorHAnsi" w:hAnsiTheme="minorHAnsi"/>
          <w:sz w:val="18"/>
          <w:szCs w:val="18"/>
        </w:rPr>
        <w:t xml:space="preserve"> 60-66</w:t>
      </w:r>
      <w:r>
        <w:rPr>
          <w:rFonts w:asciiTheme="minorHAnsi" w:hAnsiTheme="minorHAnsi"/>
          <w:sz w:val="18"/>
          <w:szCs w:val="18"/>
        </w:rPr>
        <w:t>.</w:t>
      </w:r>
    </w:p>
    <w:p w:rsidR="00B00A4C" w:rsidRPr="00E80E37" w:rsidRDefault="00AC5F0E" w:rsidP="00E80E37">
      <w:pPr>
        <w:pStyle w:val="ListParagraph"/>
        <w:numPr>
          <w:ilvl w:val="0"/>
          <w:numId w:val="3"/>
        </w:numPr>
        <w:tabs>
          <w:tab w:val="left" w:pos="384"/>
        </w:tabs>
        <w:spacing w:before="103" w:line="216" w:lineRule="exact"/>
        <w:ind w:right="138" w:hanging="283"/>
        <w:rPr>
          <w:sz w:val="18"/>
          <w:szCs w:val="18"/>
        </w:rPr>
      </w:pPr>
      <w:r w:rsidRPr="00E80E37">
        <w:rPr>
          <w:sz w:val="18"/>
          <w:szCs w:val="18"/>
        </w:rPr>
        <w:t xml:space="preserve">Hana Tadesse Seifu, Ashebir Balcha Bala (2018) </w:t>
      </w:r>
      <w:r w:rsidR="00E80E37" w:rsidRPr="00E80E37">
        <w:rPr>
          <w:sz w:val="18"/>
          <w:szCs w:val="18"/>
        </w:rPr>
        <w:t xml:space="preserve">Plants Used in Ethnoveterinary Practices in Chencha and Boreda Districts, Southern Ethiopia. Journal of Biology, Agriculture and Healthcare </w:t>
      </w:r>
      <w:r w:rsidRPr="00E80E37">
        <w:rPr>
          <w:sz w:val="18"/>
          <w:szCs w:val="18"/>
        </w:rPr>
        <w:t>8: 43-49</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4723F">
      <w:pPr>
        <w:pStyle w:val="BodyText"/>
        <w:spacing w:line="40" w:lineRule="exact"/>
        <w:ind w:left="2202"/>
        <w:rPr>
          <w:rFonts w:ascii="Calibri"/>
          <w:sz w:val="4"/>
        </w:rPr>
      </w:pPr>
      <w:r w:rsidRPr="0044723F">
        <w:rPr>
          <w:rFonts w:ascii="Calibri"/>
          <w:noProof/>
          <w:sz w:val="4"/>
          <w:lang w:val="en-IN" w:eastAsia="en-IN"/>
        </w:rPr>
      </w:r>
      <w:r w:rsidRPr="0044723F">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4F688C" w:rsidRDefault="004F688C" w:rsidP="00404E5B">
      <w:pPr>
        <w:spacing w:before="92"/>
        <w:ind w:right="4234"/>
        <w:rPr>
          <w:rFonts w:ascii="Arial"/>
          <w:color w:val="BF5A14"/>
        </w:rPr>
      </w:pPr>
      <w:r w:rsidRPr="004F688C">
        <w:rPr>
          <w:noProof/>
          <w:lang w:val="en-GB" w:eastAsia="en-GB"/>
        </w:rPr>
        <w:drawing>
          <wp:inline distT="0" distB="0" distL="0" distR="0">
            <wp:extent cx="533041" cy="517585"/>
            <wp:effectExtent l="19050" t="0" r="359" b="0"/>
            <wp:docPr id="7" name="Picture 5" descr="Hana Tadesse Seifu at Southern Agricultural Research Institute (SARI)"/>
            <wp:cNvGraphicFramePr/>
            <a:graphic xmlns:a="http://schemas.openxmlformats.org/drawingml/2006/main">
              <a:graphicData uri="http://schemas.openxmlformats.org/drawingml/2006/picture">
                <pic:pic xmlns:pic="http://schemas.openxmlformats.org/drawingml/2006/picture">
                  <pic:nvPicPr>
                    <pic:cNvPr id="0" name="yui_3_14_1_1_1534928861465_152" descr="Hana Tadesse Seifu at Southern Agricultural Research Institute (SARI)">
                      <a:hlinkClick r:id="rId10"/>
                    </pic:cNvPr>
                    <pic:cNvPicPr>
                      <a:picLocks noChangeAspect="1" noChangeArrowheads="1"/>
                    </pic:cNvPicPr>
                  </pic:nvPicPr>
                  <pic:blipFill>
                    <a:blip r:link="rId11"/>
                    <a:srcRect/>
                    <a:stretch>
                      <a:fillRect/>
                    </a:stretch>
                  </pic:blipFill>
                  <pic:spPr bwMode="auto">
                    <a:xfrm>
                      <a:off x="0" y="0"/>
                      <a:ext cx="543785" cy="528017"/>
                    </a:xfrm>
                    <a:prstGeom prst="rect">
                      <a:avLst/>
                    </a:prstGeom>
                    <a:noFill/>
                    <a:ln w="9525">
                      <a:noFill/>
                      <a:miter lim="800000"/>
                      <a:headEnd/>
                      <a:tailEnd/>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DD22E6" w:rsidRPr="00DD22E6" w:rsidRDefault="00DD22E6" w:rsidP="00DD22E6">
      <w:pPr>
        <w:spacing w:line="360" w:lineRule="auto"/>
        <w:jc w:val="both"/>
        <w:rPr>
          <w:rFonts w:ascii="Arial" w:hAnsi="Arial" w:cs="Arial"/>
          <w:sz w:val="14"/>
          <w:szCs w:val="24"/>
        </w:rPr>
      </w:pPr>
      <w:r w:rsidRPr="00DD22E6">
        <w:rPr>
          <w:rFonts w:ascii="Arial" w:hAnsi="Arial" w:cs="Arial"/>
          <w:sz w:val="14"/>
          <w:szCs w:val="24"/>
        </w:rPr>
        <w:t xml:space="preserve">Hana has four years of experience in the research sector. She earned a degree of Doctor of Veterinary Medicine and Master’s degree in Veterinary Epidemiology from Jimma University, Jimma Ethiopia. She is working as a Livestock Health Researcher in Southern Agricultural Research Institute (SARI), in Livestock Health Improvement Project. Hana worked with </w:t>
      </w:r>
      <w:r w:rsidRPr="00DD22E6">
        <w:rPr>
          <w:rFonts w:ascii="Arial" w:hAnsi="Arial" w:cs="Arial"/>
          <w:sz w:val="14"/>
          <w:szCs w:val="24"/>
          <w:shd w:val="clear" w:color="auto" w:fill="FFFFFF"/>
        </w:rPr>
        <w:t xml:space="preserve">diverse </w:t>
      </w:r>
      <w:r w:rsidRPr="00DD22E6">
        <w:rPr>
          <w:rFonts w:ascii="Arial" w:hAnsi="Arial" w:cs="Arial"/>
          <w:sz w:val="14"/>
          <w:szCs w:val="24"/>
        </w:rPr>
        <w:t xml:space="preserve">stakeholders, including ICARDA, EIAR and AGP II to improve </w:t>
      </w:r>
      <w:r w:rsidRPr="00DD22E6">
        <w:rPr>
          <w:rFonts w:ascii="Arial" w:hAnsi="Arial" w:cs="Arial"/>
          <w:sz w:val="14"/>
          <w:szCs w:val="24"/>
          <w:shd w:val="clear" w:color="auto" w:fill="FFFFFF"/>
        </w:rPr>
        <w:t xml:space="preserve">animal health, productivity and management practices </w:t>
      </w:r>
      <w:r w:rsidRPr="00DD22E6">
        <w:rPr>
          <w:rFonts w:ascii="Arial" w:hAnsi="Arial" w:cs="Arial"/>
          <w:sz w:val="14"/>
          <w:szCs w:val="24"/>
        </w:rPr>
        <w:t>in rural communities, in southern Ethiopia specially, Gamo Gofa and Segen area people's zone. She developed skills of organizing communities for research and rural appraisal issues. Hana enjoys focusing on the topics of epidemiology, immunology, research and has good knowledge of proposal writing, report writing and report dissemination for extension services.</w:t>
      </w:r>
    </w:p>
    <w:p w:rsidR="00AE3E37" w:rsidRDefault="00A9710C" w:rsidP="00DD22E6">
      <w:pPr>
        <w:spacing w:before="62"/>
        <w:ind w:left="4217" w:right="4235"/>
        <w:jc w:val="center"/>
        <w:rPr>
          <w:rFonts w:ascii="Arial"/>
          <w:sz w:val="19"/>
        </w:rPr>
      </w:pPr>
      <w:r>
        <w:rPr>
          <w:rFonts w:ascii="Arial"/>
          <w:sz w:val="14"/>
        </w:rPr>
        <w:t xml:space="preserve">Email: </w:t>
      </w:r>
      <w:r w:rsidR="0044723F" w:rsidRPr="0044723F">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hyperlink r:id="rId12" w:history="1">
        <w:r w:rsidR="00DD22E6" w:rsidRPr="00E0734E">
          <w:rPr>
            <w:rStyle w:val="Hyperlink"/>
            <w:rFonts w:ascii="Arial"/>
            <w:sz w:val="14"/>
          </w:rPr>
          <w:t>tadessehanna@ymail.com</w:t>
        </w:r>
      </w:hyperlink>
      <w:r w:rsidR="00DD22E6">
        <w:rPr>
          <w:rFonts w:ascii="Arial"/>
          <w:sz w:val="14"/>
        </w:rPr>
        <w:t xml:space="preserve"> </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92A" w:rsidRDefault="00E5392A">
      <w:r>
        <w:separator/>
      </w:r>
    </w:p>
  </w:endnote>
  <w:endnote w:type="continuationSeparator" w:id="1">
    <w:p w:rsidR="00E5392A" w:rsidRDefault="00E5392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4723F">
    <w:pPr>
      <w:pStyle w:val="BodyText"/>
      <w:spacing w:line="14" w:lineRule="auto"/>
      <w:rPr>
        <w:sz w:val="20"/>
      </w:rPr>
    </w:pPr>
    <w:r w:rsidRPr="0044723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4723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4723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92A" w:rsidRDefault="00E5392A">
      <w:r>
        <w:separator/>
      </w:r>
    </w:p>
  </w:footnote>
  <w:footnote w:type="continuationSeparator" w:id="1">
    <w:p w:rsidR="00E5392A" w:rsidRDefault="00E539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4723F">
    <w:pPr>
      <w:pStyle w:val="BodyText"/>
      <w:spacing w:line="14" w:lineRule="auto"/>
      <w:rPr>
        <w:sz w:val="20"/>
      </w:rPr>
    </w:pPr>
    <w:r w:rsidRPr="0044723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4723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0258"/>
    <w:rsid w:val="001263DF"/>
    <w:rsid w:val="002455EC"/>
    <w:rsid w:val="00292ED9"/>
    <w:rsid w:val="002A299E"/>
    <w:rsid w:val="002D3B38"/>
    <w:rsid w:val="00404E5B"/>
    <w:rsid w:val="00414F7B"/>
    <w:rsid w:val="004355DC"/>
    <w:rsid w:val="0044723F"/>
    <w:rsid w:val="004749B4"/>
    <w:rsid w:val="00494130"/>
    <w:rsid w:val="004F3523"/>
    <w:rsid w:val="004F688C"/>
    <w:rsid w:val="005973B9"/>
    <w:rsid w:val="005B3A56"/>
    <w:rsid w:val="005E4A2E"/>
    <w:rsid w:val="006060CE"/>
    <w:rsid w:val="0063497F"/>
    <w:rsid w:val="00873DF0"/>
    <w:rsid w:val="008756E6"/>
    <w:rsid w:val="008A08B6"/>
    <w:rsid w:val="00934B0F"/>
    <w:rsid w:val="00935809"/>
    <w:rsid w:val="009B2D44"/>
    <w:rsid w:val="00A07E82"/>
    <w:rsid w:val="00A9710C"/>
    <w:rsid w:val="00AC5F0E"/>
    <w:rsid w:val="00AE3E37"/>
    <w:rsid w:val="00B00A4C"/>
    <w:rsid w:val="00B21A57"/>
    <w:rsid w:val="00C33602"/>
    <w:rsid w:val="00CD6F55"/>
    <w:rsid w:val="00D112E6"/>
    <w:rsid w:val="00DD22E6"/>
    <w:rsid w:val="00DE3104"/>
    <w:rsid w:val="00E26B10"/>
    <w:rsid w:val="00E5392A"/>
    <w:rsid w:val="00E80E3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2D3B38"/>
    <w:pPr>
      <w:widowControl/>
      <w:autoSpaceDE w:val="0"/>
      <w:autoSpaceDN w:val="0"/>
      <w:adjustRightInd w:val="0"/>
    </w:pPr>
    <w:rPr>
      <w:rFonts w:ascii="Arial" w:hAnsi="Arial" w:cs="Arial"/>
      <w:color w:val="000000"/>
      <w:sz w:val="24"/>
      <w:szCs w:val="24"/>
      <w:lang w:val="en-GB"/>
    </w:rPr>
  </w:style>
  <w:style w:type="paragraph" w:styleId="Caption">
    <w:name w:val="caption"/>
    <w:basedOn w:val="Normal"/>
    <w:next w:val="Normal"/>
    <w:uiPriority w:val="35"/>
    <w:unhideWhenUsed/>
    <w:qFormat/>
    <w:rsid w:val="005E4A2E"/>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tadessehanna@y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file:///C:\Users\Medi\Desktop\Hana%20Tadesse%20Seifu_files\Hana_Seifu(1).jpg"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www.researchgate.net/profile/Hana_Seifu"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p:lastModifiedBy>
  <cp:revision>2</cp:revision>
  <dcterms:created xsi:type="dcterms:W3CDTF">2018-08-22T13:21:00Z</dcterms:created>
  <dcterms:modified xsi:type="dcterms:W3CDTF">2018-08-22T13:21:00Z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