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90B" w:rsidRDefault="00DE190B" w:rsidP="00DE190B">
      <w:pPr>
        <w:widowControl/>
        <w:autoSpaceDE w:val="0"/>
        <w:autoSpaceDN w:val="0"/>
        <w:adjustRightInd w:val="0"/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</w:pPr>
      <w:r w:rsidRPr="00DE190B"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 xml:space="preserve">Recombinant </w:t>
      </w:r>
      <w:r w:rsidRPr="00DE190B">
        <w:rPr>
          <w:rFonts w:ascii="CbqjkxAdvTTec61d777.BI" w:eastAsiaTheme="minorHAnsi" w:hAnsi="CbqjkxAdvTTec61d777.BI" w:cs="CbqjkxAdvTTec61d777.BI"/>
          <w:color w:val="131413"/>
          <w:sz w:val="35"/>
          <w:szCs w:val="35"/>
        </w:rPr>
        <w:t xml:space="preserve">Lactobacillus </w:t>
      </w:r>
      <w:proofErr w:type="spellStart"/>
      <w:r w:rsidRPr="00DE190B">
        <w:rPr>
          <w:rFonts w:ascii="CbqjkxAdvTTec61d777.BI" w:eastAsiaTheme="minorHAnsi" w:hAnsi="CbqjkxAdvTTec61d777.BI" w:cs="CbqjkxAdvTTec61d777.BI"/>
          <w:color w:val="131413"/>
          <w:sz w:val="35"/>
          <w:szCs w:val="35"/>
        </w:rPr>
        <w:t>plantarum</w:t>
      </w:r>
      <w:proofErr w:type="spellEnd"/>
      <w:r w:rsidRPr="00DE190B">
        <w:rPr>
          <w:rFonts w:ascii="CbqjkxAdvTTec61d777.BI" w:eastAsiaTheme="minorHAnsi" w:hAnsi="CbqjkxAdvTTec61d777.BI" w:cs="CbqjkxAdvTTec61d777.BI"/>
          <w:color w:val="131413"/>
          <w:sz w:val="35"/>
          <w:szCs w:val="35"/>
        </w:rPr>
        <w:t xml:space="preserve"> </w:t>
      </w:r>
      <w:r w:rsidRPr="00DE190B"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>expressing HA2 antigen</w:t>
      </w:r>
      <w:r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 xml:space="preserve"> </w:t>
      </w:r>
      <w:r w:rsidRPr="00DE190B"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>elicits protective immunity against H9N2 avian influenza virus</w:t>
      </w:r>
      <w:r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 xml:space="preserve"> </w:t>
      </w:r>
      <w:r w:rsidRPr="00DE190B"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  <w:t>in chickens</w:t>
      </w:r>
    </w:p>
    <w:p w:rsidR="00AE3E37" w:rsidRPr="00DE190B" w:rsidRDefault="00DE190B" w:rsidP="00DE190B">
      <w:pPr>
        <w:widowControl/>
        <w:autoSpaceDE w:val="0"/>
        <w:autoSpaceDN w:val="0"/>
        <w:adjustRightInd w:val="0"/>
        <w:rPr>
          <w:rFonts w:ascii="QyxbnrAdvTTb8864ccf.B" w:eastAsiaTheme="minorHAnsi" w:hAnsi="QyxbnrAdvTTb8864ccf.B" w:cs="QyxbnrAdvTTb8864ccf.B"/>
          <w:color w:val="131413"/>
          <w:sz w:val="35"/>
          <w:szCs w:val="35"/>
        </w:rPr>
      </w:pP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Wen-Tao Yang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proofErr w:type="spellStart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Gui-Lian</w:t>
      </w:r>
      <w:proofErr w:type="spellEnd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 xml:space="preserve"> Yang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Xin Yang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proofErr w:type="spellStart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Seria-Masole</w:t>
      </w:r>
      <w:proofErr w:type="spellEnd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 xml:space="preserve"> Shonyela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 xml:space="preserve">, 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>Liang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 xml:space="preserve"> Zhao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Yan-Long Jiang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 xml:space="preserve">, 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>Hai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-Bin Huang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 xml:space="preserve">, 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Chun-Wei Shi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 xml:space="preserve">, 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>Jian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-</w:t>
      </w:r>
      <w:proofErr w:type="spellStart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Zhong</w:t>
      </w:r>
      <w:proofErr w:type="spellEnd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 xml:space="preserve"> Wang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Guan Wang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 xml:space="preserve">, </w:t>
      </w:r>
      <w:proofErr w:type="spellStart"/>
      <w:r>
        <w:rPr>
          <w:rFonts w:ascii="DybyqlAdvP0005" w:eastAsiaTheme="minorHAnsi" w:hAnsi="DybyqlAdvP0005" w:cs="DybyqlAdvP0005"/>
          <w:color w:val="131413"/>
          <w:sz w:val="16"/>
          <w:szCs w:val="16"/>
        </w:rPr>
        <w:t>Jin</w:t>
      </w:r>
      <w:proofErr w:type="spellEnd"/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-Hui Zhao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  <w:r>
        <w:rPr>
          <w:rFonts w:ascii="QyxbnrAdvTTb8864ccf.B" w:eastAsiaTheme="minorHAnsi" w:hAnsi="QyxbnrAdvTTb8864ccf.B" w:cs="QyxbnrAdvTTb8864ccf.B"/>
          <w:color w:val="131413"/>
          <w:sz w:val="13"/>
          <w:szCs w:val="13"/>
        </w:rPr>
        <w:t>,</w:t>
      </w:r>
      <w:r>
        <w:rPr>
          <w:rFonts w:ascii="DybyqlAdvP0005" w:eastAsiaTheme="minorHAnsi" w:hAnsi="DybyqlAdvP0005" w:cs="DybyqlAdvP0005"/>
          <w:color w:val="131413"/>
          <w:sz w:val="16"/>
          <w:szCs w:val="16"/>
        </w:rPr>
        <w:t xml:space="preserve"> </w:t>
      </w:r>
      <w:r>
        <w:rPr>
          <w:rFonts w:ascii="QyxbnrAdvTTb8864ccf.B" w:eastAsiaTheme="minorHAnsi" w:hAnsi="QyxbnrAdvTTb8864ccf.B" w:cs="QyxbnrAdvTTb8864ccf.B"/>
          <w:color w:val="131413"/>
          <w:sz w:val="20"/>
          <w:szCs w:val="20"/>
        </w:rPr>
        <w:t>Chun-Feng Wang</w:t>
      </w:r>
      <w:r w:rsidRPr="00DE190B">
        <w:rPr>
          <w:rFonts w:ascii="QyxbnrAdvTTb8864ccf.B" w:eastAsiaTheme="minorHAnsi" w:hAnsi="QyxbnrAdvTTb8864ccf.B" w:cs="QyxbnrAdvTTb8864ccf.B"/>
          <w:color w:val="131413"/>
          <w:sz w:val="13"/>
          <w:szCs w:val="13"/>
          <w:vertAlign w:val="superscript"/>
        </w:rPr>
        <w:t>1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DE190B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DE190B"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AE3E37" w:rsidRPr="00DE190B" w:rsidRDefault="00DE190B" w:rsidP="00DE190B">
      <w:pPr>
        <w:widowControl/>
        <w:autoSpaceDE w:val="0"/>
        <w:autoSpaceDN w:val="0"/>
        <w:adjustRightInd w:val="0"/>
        <w:rPr>
          <w:rFonts w:ascii="GvmlsbAdvTT3713a231" w:eastAsiaTheme="minorHAnsi" w:hAnsi="GvmlsbAdvTT3713a231" w:cs="GvmlsbAdvTT3713a231"/>
          <w:color w:val="131413"/>
          <w:sz w:val="20"/>
          <w:szCs w:val="20"/>
        </w:rPr>
      </w:pPr>
      <w:r w:rsidRPr="00DE190B">
        <w:rPr>
          <w:rFonts w:ascii="Calibri" w:eastAsia="Calibri" w:hAnsi="Calibri" w:cs="Calibri"/>
          <w:sz w:val="18"/>
        </w:rPr>
        <w:t>Low pathogenic H9N2 subtype avian influenza virus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(AIV) can lead to moderate respiratory symptoms and low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egg production rates in poultry. Due to its immunologic suppression,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other various infectious pathogens give rise to the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co-infection of hosts, causing heavy economic losses in the</w:t>
      </w:r>
      <w:r w:rsidRPr="00EA1C02">
        <w:rPr>
          <w:rFonts w:ascii="Calibri" w:eastAsia="Calibri" w:hAnsi="Calibri" w:cs="Calibri"/>
          <w:sz w:val="18"/>
        </w:rPr>
        <w:t xml:space="preserve"> commercial poultry </w:t>
      </w:r>
      <w:r w:rsidRPr="00DE190B">
        <w:rPr>
          <w:rFonts w:ascii="Calibri" w:eastAsia="Calibri" w:hAnsi="Calibri" w:cs="Calibri"/>
          <w:sz w:val="18"/>
        </w:rPr>
        <w:t>industry in both China and worldwide.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Therefore, it is time to explore a novel, safe, and effective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vaccine. We have already made use of the surface of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 xml:space="preserve">Lactobacillus </w:t>
      </w:r>
      <w:proofErr w:type="spellStart"/>
      <w:r w:rsidRPr="00DE190B">
        <w:rPr>
          <w:rFonts w:ascii="Calibri" w:eastAsia="Calibri" w:hAnsi="Calibri" w:cs="Calibri"/>
          <w:sz w:val="18"/>
        </w:rPr>
        <w:t>plantarum</w:t>
      </w:r>
      <w:proofErr w:type="spellEnd"/>
      <w:r w:rsidRPr="00DE190B">
        <w:rPr>
          <w:rFonts w:ascii="Calibri" w:eastAsia="Calibri" w:hAnsi="Calibri" w:cs="Calibri"/>
          <w:sz w:val="18"/>
        </w:rPr>
        <w:t xml:space="preserve"> to display AIV HA2 (NC8-pSIP409-pgsA′-HA2), which demonstrated that it has a good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immunogenicity. In this study, by evaluating the immune protection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effect of NC8-pSIP409-pgsA′-HA2 on chickens, we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 xml:space="preserve">found that the </w:t>
      </w:r>
      <w:proofErr w:type="spellStart"/>
      <w:r w:rsidRPr="00DE190B">
        <w:rPr>
          <w:rFonts w:ascii="Calibri" w:eastAsia="Calibri" w:hAnsi="Calibri" w:cs="Calibri"/>
          <w:sz w:val="18"/>
        </w:rPr>
        <w:t>hemagglutination</w:t>
      </w:r>
      <w:proofErr w:type="spellEnd"/>
      <w:r w:rsidRPr="00DE190B">
        <w:rPr>
          <w:rFonts w:ascii="Calibri" w:eastAsia="Calibri" w:hAnsi="Calibri" w:cs="Calibri"/>
          <w:sz w:val="18"/>
        </w:rPr>
        <w:t xml:space="preserve"> inhibition (HI) antibodies,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 xml:space="preserve">specificity IgG antibody in chickens, the </w:t>
      </w:r>
      <w:proofErr w:type="spellStart"/>
      <w:r w:rsidRPr="00DE190B">
        <w:rPr>
          <w:rFonts w:ascii="Calibri" w:eastAsia="Calibri" w:hAnsi="Calibri" w:cs="Calibri"/>
          <w:sz w:val="18"/>
        </w:rPr>
        <w:t>sIgA</w:t>
      </w:r>
      <w:proofErr w:type="spellEnd"/>
      <w:r w:rsidRPr="00DE190B">
        <w:rPr>
          <w:rFonts w:ascii="Calibri" w:eastAsia="Calibri" w:hAnsi="Calibri" w:cs="Calibri"/>
          <w:sz w:val="18"/>
        </w:rPr>
        <w:t xml:space="preserve"> titer in </w:t>
      </w:r>
      <w:proofErr w:type="spellStart"/>
      <w:r w:rsidRPr="00DE190B">
        <w:rPr>
          <w:rFonts w:ascii="Calibri" w:eastAsia="Calibri" w:hAnsi="Calibri" w:cs="Calibri"/>
          <w:sz w:val="18"/>
        </w:rPr>
        <w:t>broncho</w:t>
      </w:r>
      <w:proofErr w:type="spellEnd"/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alveolar lavage fluids (BALF), and the T cell response were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increased notably after oral vaccination with NC8-pSIP409-pgsA′-HA2. In addition, weight loss, lung titers, and lung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pathologies were improved when chickens were orally vaccinated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with NC8-pSIP409-pgsA′-HA2 after challenge with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>H9N2 AIV. This strategy lays the foundation for the development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DE190B">
        <w:rPr>
          <w:rFonts w:ascii="Calibri" w:eastAsia="Calibri" w:hAnsi="Calibri" w:cs="Calibri"/>
          <w:sz w:val="18"/>
        </w:rPr>
        <w:t xml:space="preserve">of recombinant L. </w:t>
      </w:r>
      <w:proofErr w:type="spellStart"/>
      <w:r w:rsidRPr="00DE190B">
        <w:rPr>
          <w:rFonts w:ascii="Calibri" w:eastAsia="Calibri" w:hAnsi="Calibri" w:cs="Calibri"/>
          <w:sz w:val="18"/>
        </w:rPr>
        <w:t>plantarum</w:t>
      </w:r>
      <w:proofErr w:type="spellEnd"/>
      <w:r w:rsidRPr="00DE190B">
        <w:rPr>
          <w:rFonts w:ascii="Calibri" w:eastAsia="Calibri" w:hAnsi="Calibri" w:cs="Calibri"/>
          <w:sz w:val="18"/>
        </w:rPr>
        <w:t xml:space="preserve"> oral vaccines in the prevention</w:t>
      </w:r>
      <w:r w:rsidRPr="00EA1C02">
        <w:rPr>
          <w:rFonts w:ascii="Calibri" w:eastAsia="Calibri" w:hAnsi="Calibri" w:cs="Calibri"/>
          <w:sz w:val="18"/>
        </w:rPr>
        <w:t xml:space="preserve"> </w:t>
      </w:r>
      <w:r w:rsidRPr="00EA1C02">
        <w:rPr>
          <w:rFonts w:ascii="Calibri" w:eastAsia="Calibri" w:hAnsi="Calibri" w:cs="Calibri"/>
          <w:sz w:val="18"/>
        </w:rPr>
        <w:t>of AIV.</w:t>
      </w:r>
      <w:r w:rsidR="00A9710C">
        <w:br w:type="column"/>
      </w:r>
      <w:r w:rsidR="00A9710C" w:rsidRPr="00DE190B">
        <w:lastRenderedPageBreak/>
        <w:t>Image</w:t>
      </w:r>
    </w:p>
    <w:p w:rsidR="00AE3E37" w:rsidRDefault="00C0452B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 wp14:anchorId="2174D215" wp14:editId="19AC3431">
            <wp:extent cx="3165475" cy="2927539"/>
            <wp:effectExtent l="0" t="0" r="0" b="6350"/>
            <wp:docPr id="3" name="Picture 3" descr="C:\Users\Administrator\Desktop\FIG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FIGUR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92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Pr="00C30EBA">
        <w:rPr>
          <w:rFonts w:ascii="Arial"/>
          <w:b/>
          <w:sz w:val="20"/>
        </w:rPr>
        <w:t xml:space="preserve">Recent Publications </w:t>
      </w:r>
    </w:p>
    <w:p w:rsidR="005973B9" w:rsidRDefault="00C0452B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C0452B">
        <w:rPr>
          <w:sz w:val="18"/>
        </w:rPr>
        <w:t>Shonyela</w:t>
      </w:r>
      <w:proofErr w:type="spellEnd"/>
      <w:r w:rsidRPr="00C0452B">
        <w:rPr>
          <w:sz w:val="18"/>
        </w:rPr>
        <w:t xml:space="preserve"> SM, Wang G, Yang W, Yang G, Wang C: New Progress regarding the Use of Lactic Acid Bacteria as Live Delivery Vectors, Treatment of Diseases and Induction of Immune Responses in Different Host Species Focusing on &amp;</w:t>
      </w:r>
      <w:proofErr w:type="spellStart"/>
      <w:r w:rsidRPr="00C0452B">
        <w:rPr>
          <w:sz w:val="18"/>
        </w:rPr>
        <w:t>lt;i&amp;gt;Lactobacillus&amp;lt</w:t>
      </w:r>
      <w:proofErr w:type="spellEnd"/>
      <w:r w:rsidRPr="00C0452B">
        <w:rPr>
          <w:sz w:val="18"/>
        </w:rPr>
        <w:t>;/</w:t>
      </w:r>
      <w:proofErr w:type="spellStart"/>
      <w:r w:rsidRPr="00C0452B">
        <w:rPr>
          <w:sz w:val="18"/>
        </w:rPr>
        <w:t>i&amp;gt</w:t>
      </w:r>
      <w:proofErr w:type="spellEnd"/>
      <w:r w:rsidRPr="00C0452B">
        <w:rPr>
          <w:sz w:val="18"/>
        </w:rPr>
        <w:t>; Species. World Journal of Vaccines 2017, Vol.07No.04:33</w:t>
      </w:r>
    </w:p>
    <w:p w:rsidR="005A5ED6" w:rsidRPr="005A5ED6" w:rsidRDefault="005A5ED6" w:rsidP="005A5ED6">
      <w:pPr>
        <w:pStyle w:val="EndNoteBibliography"/>
        <w:numPr>
          <w:ilvl w:val="0"/>
          <w:numId w:val="3"/>
        </w:numPr>
        <w:rPr>
          <w:rFonts w:eastAsia="Calibri" w:cs="Calibri"/>
          <w:noProof w:val="0"/>
          <w:lang w:eastAsia="en-US"/>
        </w:rPr>
      </w:pPr>
      <w:r w:rsidRPr="005A5ED6">
        <w:rPr>
          <w:rFonts w:eastAsia="Calibri" w:cs="Calibri"/>
          <w:noProof w:val="0"/>
          <w:lang w:eastAsia="en-US"/>
        </w:rPr>
        <w:t>Jin Y-B, Yang W-T, Huang K-Y, Chen H-L, Shonyela S-M, Liu J, Liu Q, Feng B, Zhou Y, Zhi S-L et al: Expression and purification of swine RAG2 in E. coli for production of porcine RAG2 polyclonal antibodies. BBB 2017, 81(8):1489-1496.</w:t>
      </w:r>
    </w:p>
    <w:p w:rsidR="005A5ED6" w:rsidRDefault="005A5ED6" w:rsidP="005A5ED6">
      <w:pPr>
        <w:pStyle w:val="EndNoteBibliographyTitle"/>
        <w:numPr>
          <w:ilvl w:val="0"/>
          <w:numId w:val="3"/>
        </w:numPr>
        <w:jc w:val="left"/>
        <w:rPr>
          <w:rFonts w:eastAsia="Calibri" w:cs="Calibri"/>
          <w:noProof w:val="0"/>
        </w:rPr>
      </w:pPr>
      <w:r w:rsidRPr="005A5ED6">
        <w:rPr>
          <w:rFonts w:eastAsia="Calibri" w:cs="Calibri"/>
          <w:noProof w:val="0"/>
        </w:rPr>
        <w:t>Yang WT, Yang GL, Yang X, Shonyela SM, Zhao L, Jiang YL, Huang HB, Shi CW, Wang JZ, Wang G et al: Recombinant Lactobacillus plantarum expressing HA2 antigen elicits protective immunity against H9N2 avian influenza virus in chickens. AMB 2017, 101(23-24):8475-8484.</w:t>
      </w:r>
    </w:p>
    <w:p w:rsidR="00AE3E37" w:rsidRPr="00EA1C02" w:rsidRDefault="005A5ED6" w:rsidP="00EA1C02">
      <w:pPr>
        <w:pStyle w:val="EndNoteBibliographyTitle"/>
        <w:numPr>
          <w:ilvl w:val="0"/>
          <w:numId w:val="3"/>
        </w:numPr>
        <w:jc w:val="left"/>
        <w:rPr>
          <w:rFonts w:eastAsia="Calibri" w:cs="Calibri"/>
          <w:noProof w:val="0"/>
        </w:rPr>
        <w:sectPr w:rsidR="00AE3E37" w:rsidRPr="00EA1C0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A5ED6">
        <w:rPr>
          <w:rFonts w:eastAsia="Calibri" w:cs="Calibri"/>
          <w:noProof w:val="0"/>
        </w:rPr>
        <w:t>Shonyela SM, Mkupasi EM, Sikalizyo SC, Kabemba EM, Ngowi HA, Phiri I: An epidemiological survey of porcine cysticercosis in Nyasa District, Ruvuma Region, Tanzania. Parasite Epidemiology and Control 2017, 2</w:t>
      </w:r>
      <w:r w:rsidR="00EA1C02">
        <w:rPr>
          <w:rFonts w:eastAsia="Calibri" w:cs="Calibri"/>
          <w:noProof w:val="0"/>
        </w:rPr>
        <w:t>(4):35-41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F63024">
        <w:rPr>
          <w:noProof/>
          <w:lang w:eastAsia="zh-CN"/>
        </w:rPr>
        <w:drawing>
          <wp:inline distT="0" distB="0" distL="0" distR="0" wp14:anchorId="1EB35032" wp14:editId="6018417D">
            <wp:extent cx="395021" cy="540370"/>
            <wp:effectExtent l="0" t="0" r="5080" b="0"/>
            <wp:docPr id="4" name="Picture 4" descr="D:\GOSPAL\PHOTO\C360_2018-05-30-08-21-22-5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OSPAL\PHOTO\C360_2018-05-30-08-21-22-54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08" cy="54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Pr="00C30EBA">
        <w:rPr>
          <w:noProof/>
        </w:rPr>
        <w:t xml:space="preserve"> </w:t>
      </w:r>
      <w:r w:rsidR="00A9710C" w:rsidRPr="00C30EBA">
        <w:rPr>
          <w:rFonts w:ascii="Arial"/>
        </w:rPr>
        <w:t>Biography</w:t>
      </w:r>
      <w:r w:rsidR="00404E5B" w:rsidRPr="00C30EBA">
        <w:rPr>
          <w:rFonts w:ascii="Arial"/>
        </w:rPr>
        <w:t xml:space="preserve"> </w:t>
      </w:r>
    </w:p>
    <w:p w:rsidR="00EA1C02" w:rsidRPr="00EA1C02" w:rsidRDefault="00EA1C02" w:rsidP="00EA1C02">
      <w:pPr>
        <w:jc w:val="both"/>
        <w:rPr>
          <w:rFonts w:eastAsia="Calibri" w:cs="Calibri"/>
          <w:sz w:val="18"/>
        </w:rPr>
      </w:pPr>
      <w:proofErr w:type="spellStart"/>
      <w:r w:rsidRPr="00EA1C02">
        <w:rPr>
          <w:rFonts w:eastAsia="Calibri" w:cs="Calibri"/>
          <w:sz w:val="18"/>
        </w:rPr>
        <w:t>Seria</w:t>
      </w:r>
      <w:proofErr w:type="spellEnd"/>
      <w:r w:rsidRPr="00EA1C02">
        <w:rPr>
          <w:rFonts w:eastAsia="Calibri" w:cs="Calibri"/>
          <w:sz w:val="18"/>
        </w:rPr>
        <w:t xml:space="preserve"> </w:t>
      </w:r>
      <w:proofErr w:type="spellStart"/>
      <w:r w:rsidRPr="00EA1C02">
        <w:rPr>
          <w:rFonts w:eastAsia="Calibri" w:cs="Calibri"/>
          <w:sz w:val="18"/>
        </w:rPr>
        <w:t>Masole</w:t>
      </w:r>
      <w:proofErr w:type="spellEnd"/>
      <w:r w:rsidRPr="00EA1C02">
        <w:rPr>
          <w:rFonts w:eastAsia="Calibri" w:cs="Calibri"/>
          <w:sz w:val="18"/>
        </w:rPr>
        <w:t xml:space="preserve"> is a native of </w:t>
      </w:r>
      <w:proofErr w:type="spellStart"/>
      <w:r w:rsidRPr="00EA1C02">
        <w:rPr>
          <w:rFonts w:eastAsia="Calibri" w:cs="Calibri"/>
          <w:sz w:val="18"/>
        </w:rPr>
        <w:t>Isyesye</w:t>
      </w:r>
      <w:proofErr w:type="spellEnd"/>
      <w:r w:rsidRPr="00EA1C02">
        <w:rPr>
          <w:rFonts w:eastAsia="Calibri" w:cs="Calibri"/>
          <w:sz w:val="18"/>
        </w:rPr>
        <w:t>, Mbeya, Tanzania she was born and raised there. She is a Mother of 3 Children. Her Life style background has led her to work hard and to have a number of opportunities</w:t>
      </w:r>
      <w:r w:rsidRPr="00EA1C02">
        <w:rPr>
          <w:rFonts w:eastAsia="Calibri" w:cs="Calibri"/>
          <w:sz w:val="18"/>
        </w:rPr>
        <w:t xml:space="preserve">. </w:t>
      </w:r>
      <w:r w:rsidRPr="00EA1C02">
        <w:rPr>
          <w:rFonts w:eastAsia="Calibri" w:cs="Calibri"/>
          <w:sz w:val="18"/>
        </w:rPr>
        <w:t>Employment: Local government. Education: PHD (Doctor of Philosophy).</w:t>
      </w:r>
      <w:r w:rsidRPr="00EA1C02">
        <w:rPr>
          <w:rFonts w:eastAsia="Calibri" w:cs="Calibri"/>
          <w:sz w:val="18"/>
        </w:rPr>
        <w:t xml:space="preserve"> </w:t>
      </w:r>
      <w:r w:rsidRPr="00EA1C02">
        <w:rPr>
          <w:rFonts w:eastAsia="Calibri" w:cs="Calibri"/>
          <w:sz w:val="18"/>
        </w:rPr>
        <w:t>Professional: she is Veterinary medicine doctor; when animal experience trauma, her greater enthusiasm is to convey healing</w:t>
      </w:r>
      <w:r w:rsidRPr="00EA1C02">
        <w:rPr>
          <w:rFonts w:eastAsia="Calibri" w:cs="Calibri"/>
          <w:sz w:val="18"/>
        </w:rPr>
        <w:t xml:space="preserve">. </w:t>
      </w:r>
      <w:r w:rsidRPr="00EA1C02">
        <w:rPr>
          <w:rFonts w:eastAsia="Calibri" w:cs="Calibri"/>
          <w:sz w:val="18"/>
        </w:rPr>
        <w:t>Institutions: SUA in Tanzania, UNZA in Zambia, WDM&amp;M Course at the NWRC in Fort Collins, Colorado United State of America and JLAU in China.</w:t>
      </w:r>
    </w:p>
    <w:p w:rsidR="00EA1C02" w:rsidRDefault="00EA1C02" w:rsidP="00EA1C02">
      <w:pPr>
        <w:widowControl/>
        <w:spacing w:after="200"/>
        <w:jc w:val="both"/>
        <w:rPr>
          <w:rFonts w:eastAsia="Calibri" w:cs="Calibri"/>
          <w:sz w:val="18"/>
        </w:rPr>
      </w:pPr>
      <w:r w:rsidRPr="00EA1C02">
        <w:rPr>
          <w:rFonts w:eastAsia="Calibri" w:cs="Calibri"/>
          <w:sz w:val="18"/>
        </w:rPr>
        <w:t>Countries visited: South Africa, Botswana, Zimbabwe, Zambia, Kenya, Ethiop</w:t>
      </w:r>
      <w:bookmarkStart w:id="0" w:name="_GoBack"/>
      <w:bookmarkEnd w:id="0"/>
      <w:r w:rsidRPr="00EA1C02">
        <w:rPr>
          <w:rFonts w:eastAsia="Calibri" w:cs="Calibri"/>
          <w:sz w:val="18"/>
        </w:rPr>
        <w:t>ia, Egypt, Spain, U.S.A and China.</w:t>
      </w:r>
    </w:p>
    <w:p w:rsidR="00AE3E37" w:rsidRPr="00EA1C02" w:rsidRDefault="00EA1C02" w:rsidP="00EA1C02">
      <w:pPr>
        <w:widowControl/>
        <w:spacing w:after="200"/>
        <w:jc w:val="both"/>
        <w:rPr>
          <w:rFonts w:eastAsia="Calibri" w:cs="Calibri"/>
          <w:sz w:val="18"/>
        </w:rPr>
      </w:pPr>
      <w:r w:rsidRPr="00EA1C02">
        <w:rPr>
          <w:rFonts w:eastAsia="Calibri" w:cs="Calibri"/>
          <w:sz w:val="18"/>
        </w:rPr>
        <w:t>Languages: Excellent to speak, write and Listening: Safwa, Swahili, and English</w:t>
      </w:r>
      <w:r>
        <w:rPr>
          <w:rFonts w:eastAsia="Calibri" w:cs="Calibri"/>
          <w:sz w:val="18"/>
        </w:rPr>
        <w:t xml:space="preserve"> and </w:t>
      </w:r>
      <w:r w:rsidRPr="00EA1C02">
        <w:rPr>
          <w:rFonts w:eastAsia="Calibri" w:cs="Calibri"/>
          <w:sz w:val="18"/>
        </w:rPr>
        <w:t>Good/fair to speak, write and Listening: Chinese</w:t>
      </w:r>
    </w:p>
    <w:p w:rsidR="00AE3E37" w:rsidRPr="00EA1C02" w:rsidRDefault="00A9710C" w:rsidP="00EA1C02">
      <w:pPr>
        <w:spacing w:before="62"/>
        <w:ind w:left="4217" w:right="4235"/>
        <w:jc w:val="center"/>
        <w:rPr>
          <w:rFonts w:ascii="Arial"/>
          <w:sz w:val="14"/>
        </w:rPr>
        <w:sectPr w:rsidR="00AE3E37" w:rsidRPr="00EA1C0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>Email</w:t>
      </w:r>
      <w:r w:rsidR="00EA1C02">
        <w:rPr>
          <w:rFonts w:ascii="Arial"/>
          <w:sz w:val="14"/>
        </w:rPr>
        <w:t>: seria.masole@sacids.or</w:t>
      </w:r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82F7C5D" wp14:editId="50C2FAA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EA1C02">
        <w:rPr>
          <w:rFonts w:ascii="Arial"/>
          <w:sz w:val="14"/>
        </w:rPr>
        <w:t>g</w:t>
      </w:r>
    </w:p>
    <w:p w:rsidR="00AE3E37" w:rsidRDefault="00AE3E37" w:rsidP="005A5ED6">
      <w:pPr>
        <w:pStyle w:val="BodyText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7C3" w:rsidRDefault="00E377C3">
      <w:r>
        <w:separator/>
      </w:r>
    </w:p>
  </w:endnote>
  <w:endnote w:type="continuationSeparator" w:id="0">
    <w:p w:rsidR="00E377C3" w:rsidRDefault="00E37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Qyxbnr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bqjkxAdvTTec61d777.B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ybyql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vmlsb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7C3" w:rsidRDefault="00E377C3">
      <w:r>
        <w:separator/>
      </w:r>
    </w:p>
  </w:footnote>
  <w:footnote w:type="continuationSeparator" w:id="0">
    <w:p w:rsidR="00E377C3" w:rsidRDefault="00E37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C7E14"/>
    <w:multiLevelType w:val="hybridMultilevel"/>
    <w:tmpl w:val="26225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A224BB4A"/>
    <w:lvl w:ilvl="0" w:tplc="B204B324">
      <w:start w:val="1"/>
      <w:numFmt w:val="decimal"/>
      <w:pStyle w:val="EndNoteBibliographyTitle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F160A05"/>
    <w:multiLevelType w:val="hybridMultilevel"/>
    <w:tmpl w:val="B7A6E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Veterinary Research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7&lt;record-ids&gt;&lt;item&gt;2363&lt;/item&gt;&lt;/record-ids&gt;&lt;/item&gt;&lt;/Libraries&gt;"/>
  </w:docVars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A5ED6"/>
    <w:rsid w:val="005B3A56"/>
    <w:rsid w:val="006060CE"/>
    <w:rsid w:val="0063497F"/>
    <w:rsid w:val="00664008"/>
    <w:rsid w:val="007A29ED"/>
    <w:rsid w:val="00873DF0"/>
    <w:rsid w:val="008756E6"/>
    <w:rsid w:val="008A08B6"/>
    <w:rsid w:val="009B2D44"/>
    <w:rsid w:val="00A07E82"/>
    <w:rsid w:val="00A9710C"/>
    <w:rsid w:val="00AE3E37"/>
    <w:rsid w:val="00B21A57"/>
    <w:rsid w:val="00C0452B"/>
    <w:rsid w:val="00C30EBA"/>
    <w:rsid w:val="00C33602"/>
    <w:rsid w:val="00CD6F55"/>
    <w:rsid w:val="00DE190B"/>
    <w:rsid w:val="00DE3104"/>
    <w:rsid w:val="00E26B10"/>
    <w:rsid w:val="00E377C3"/>
    <w:rsid w:val="00EA1C02"/>
    <w:rsid w:val="00F63024"/>
    <w:rsid w:val="00F649D6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A5ED6"/>
    <w:pPr>
      <w:widowControl/>
      <w:spacing w:after="200"/>
    </w:pPr>
    <w:rPr>
      <w:rFonts w:eastAsiaTheme="minorEastAsia" w:cstheme="minorBidi"/>
      <w:noProof/>
      <w:sz w:val="18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5A5ED6"/>
    <w:rPr>
      <w:rFonts w:ascii="Tw Cen MT" w:eastAsiaTheme="minorEastAsia" w:hAnsi="Tw Cen MT"/>
      <w:noProof/>
      <w:sz w:val="18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5A5ED6"/>
    <w:pPr>
      <w:jc w:val="center"/>
    </w:pPr>
    <w:rPr>
      <w:noProof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5A5ED6"/>
    <w:rPr>
      <w:rFonts w:ascii="Calibri" w:eastAsia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A5ED6"/>
    <w:rPr>
      <w:rFonts w:ascii="Tw Cen MT" w:eastAsia="Tw Cen MT" w:hAnsi="Tw Cen MT" w:cs="Tw Cen MT"/>
      <w:noProof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A5ED6"/>
    <w:pPr>
      <w:widowControl/>
      <w:spacing w:after="200"/>
    </w:pPr>
    <w:rPr>
      <w:rFonts w:eastAsiaTheme="minorEastAsia" w:cstheme="minorBidi"/>
      <w:noProof/>
      <w:sz w:val="18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5A5ED6"/>
    <w:rPr>
      <w:rFonts w:ascii="Tw Cen MT" w:eastAsiaTheme="minorEastAsia" w:hAnsi="Tw Cen MT"/>
      <w:noProof/>
      <w:sz w:val="18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5A5ED6"/>
    <w:pPr>
      <w:jc w:val="center"/>
    </w:pPr>
    <w:rPr>
      <w:noProof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5A5ED6"/>
    <w:rPr>
      <w:rFonts w:ascii="Calibri" w:eastAsia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A5ED6"/>
    <w:rPr>
      <w:rFonts w:ascii="Tw Cen MT" w:eastAsia="Tw Cen MT" w:hAnsi="Tw Cen MT" w:cs="Tw Cen MT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10</cp:revision>
  <dcterms:created xsi:type="dcterms:W3CDTF">2018-08-21T14:09:00Z</dcterms:created>
  <dcterms:modified xsi:type="dcterms:W3CDTF">2018-08-21T15:27:00Z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