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842" w:rsidRPr="00543842" w:rsidRDefault="00543842" w:rsidP="00543842">
      <w:pPr>
        <w:widowControl w:val="0"/>
        <w:spacing w:before="170" w:after="0" w:line="400" w:lineRule="exact"/>
        <w:outlineLvl w:val="0"/>
        <w:rPr>
          <w:rFonts w:ascii="Minion Pro" w:eastAsia="Minion Pro" w:hAnsi="Minion Pro" w:cs="Minion Pro"/>
          <w:b/>
          <w:bCs/>
          <w:sz w:val="36"/>
          <w:szCs w:val="36"/>
          <w:lang w:val="en-US"/>
        </w:rPr>
      </w:pPr>
      <w:r w:rsidRPr="00543842">
        <w:rPr>
          <w:rFonts w:ascii="Minion Pro" w:eastAsia="Minion Pro" w:hAnsi="Minion Pro" w:cs="Minion Pro"/>
          <w:b/>
          <w:bCs/>
          <w:color w:val="337AB7"/>
          <w:sz w:val="36"/>
          <w:szCs w:val="36"/>
          <w:lang w:val="en-US"/>
        </w:rPr>
        <w:t xml:space="preserve">Modifications of the </w:t>
      </w:r>
      <w:proofErr w:type="spellStart"/>
      <w:r w:rsidRPr="00543842">
        <w:rPr>
          <w:rFonts w:ascii="Minion Pro" w:eastAsia="Minion Pro" w:hAnsi="Minion Pro" w:cs="Minion Pro"/>
          <w:b/>
          <w:bCs/>
          <w:color w:val="337AB7"/>
          <w:sz w:val="36"/>
          <w:szCs w:val="36"/>
          <w:lang w:val="en-US"/>
        </w:rPr>
        <w:t>bicinchoninic</w:t>
      </w:r>
      <w:proofErr w:type="spellEnd"/>
      <w:r w:rsidRPr="00543842">
        <w:rPr>
          <w:rFonts w:ascii="Minion Pro" w:eastAsia="Minion Pro" w:hAnsi="Minion Pro" w:cs="Minion Pro"/>
          <w:b/>
          <w:bCs/>
          <w:color w:val="337AB7"/>
          <w:sz w:val="36"/>
          <w:szCs w:val="36"/>
          <w:lang w:val="en-US"/>
        </w:rPr>
        <w:t xml:space="preserve"> acid assay for protein quantification in sparkling wines</w:t>
      </w:r>
    </w:p>
    <w:p w:rsidR="00543842" w:rsidRPr="00543842" w:rsidRDefault="00543842" w:rsidP="00543842">
      <w:pPr>
        <w:widowControl w:val="0"/>
        <w:spacing w:before="73" w:after="0" w:line="198" w:lineRule="exact"/>
        <w:ind w:left="100" w:right="5987"/>
        <w:rPr>
          <w:rFonts w:ascii="Arial" w:eastAsia="Tw Cen MT" w:hAnsi="Tw Cen MT" w:cs="Tw Cen MT"/>
          <w:sz w:val="18"/>
          <w:szCs w:val="18"/>
          <w:lang w:val="en-US"/>
        </w:rPr>
      </w:pPr>
      <w:proofErr w:type="spellStart"/>
      <w:r w:rsidRPr="00543842">
        <w:rPr>
          <w:rFonts w:ascii="Arial" w:eastAsia="Tw Cen MT" w:hAnsi="Tw Cen MT" w:cs="Tw Cen MT"/>
          <w:sz w:val="18"/>
          <w:szCs w:val="18"/>
          <w:lang w:val="en-US"/>
        </w:rPr>
        <w:t>Bruna</w:t>
      </w:r>
      <w:proofErr w:type="spellEnd"/>
      <w:r w:rsidRPr="00543842">
        <w:rPr>
          <w:rFonts w:ascii="Arial" w:eastAsia="Tw Cen MT" w:hAnsi="Tw Cen MT" w:cs="Tw Cen MT"/>
          <w:sz w:val="18"/>
          <w:szCs w:val="18"/>
          <w:lang w:val="en-US"/>
        </w:rPr>
        <w:t xml:space="preserve"> C. Cond</w:t>
      </w:r>
      <w:r w:rsidRPr="00543842">
        <w:rPr>
          <w:rFonts w:ascii="Arial" w:eastAsia="Tw Cen MT" w:hAnsi="Tw Cen MT" w:cs="Tw Cen MT"/>
          <w:sz w:val="18"/>
          <w:szCs w:val="18"/>
          <w:lang w:val="en-US"/>
        </w:rPr>
        <w:t>é</w:t>
      </w:r>
      <w:r w:rsidRPr="00543842">
        <w:rPr>
          <w:rFonts w:ascii="Arial" w:eastAsia="Tw Cen MT" w:hAnsi="Tw Cen MT" w:cs="Tw Cen MT"/>
          <w:sz w:val="18"/>
          <w:szCs w:val="18"/>
          <w:lang w:val="en-US"/>
        </w:rPr>
        <w:t xml:space="preserve">, </w:t>
      </w:r>
      <w:proofErr w:type="gramStart"/>
      <w:r w:rsidRPr="00543842">
        <w:rPr>
          <w:rFonts w:ascii="Arial" w:eastAsia="Tw Cen MT" w:hAnsi="Tw Cen MT" w:cs="Tw Cen MT"/>
          <w:sz w:val="18"/>
          <w:szCs w:val="18"/>
          <w:lang w:val="en-US"/>
        </w:rPr>
        <w:t>The</w:t>
      </w:r>
      <w:proofErr w:type="gramEnd"/>
      <w:r w:rsidRPr="00543842">
        <w:rPr>
          <w:rFonts w:ascii="Arial" w:eastAsia="Tw Cen MT" w:hAnsi="Tw Cen MT" w:cs="Tw Cen MT"/>
          <w:sz w:val="18"/>
          <w:szCs w:val="18"/>
          <w:lang w:val="en-US"/>
        </w:rPr>
        <w:t xml:space="preserve"> University of Melbourne, AU</w:t>
      </w:r>
    </w:p>
    <w:p w:rsidR="00543842" w:rsidRPr="00543842" w:rsidRDefault="00543842" w:rsidP="00543842">
      <w:pPr>
        <w:widowControl w:val="0"/>
        <w:spacing w:before="73" w:after="0" w:line="198" w:lineRule="exact"/>
        <w:ind w:left="100" w:right="5987"/>
        <w:rPr>
          <w:rFonts w:ascii="Arial" w:eastAsia="Tw Cen MT" w:hAnsi="Tw Cen MT" w:cs="Tw Cen MT"/>
          <w:sz w:val="18"/>
          <w:szCs w:val="18"/>
          <w:lang w:val="en-US"/>
        </w:rPr>
      </w:pPr>
      <w:proofErr w:type="spellStart"/>
      <w:r w:rsidRPr="00543842">
        <w:rPr>
          <w:rFonts w:ascii="Arial" w:eastAsia="Tw Cen MT" w:hAnsi="Tw Cen MT" w:cs="Tw Cen MT"/>
          <w:sz w:val="18"/>
          <w:szCs w:val="18"/>
          <w:lang w:val="en-US"/>
        </w:rPr>
        <w:t>Elo</w:t>
      </w:r>
      <w:r w:rsidRPr="00543842">
        <w:rPr>
          <w:rFonts w:ascii="Arial" w:eastAsia="Tw Cen MT" w:hAnsi="Tw Cen MT" w:cs="Tw Cen MT"/>
          <w:sz w:val="18"/>
          <w:szCs w:val="18"/>
          <w:lang w:val="en-US"/>
        </w:rPr>
        <w:t>ï</w:t>
      </w:r>
      <w:r w:rsidRPr="00543842">
        <w:rPr>
          <w:rFonts w:ascii="Arial" w:eastAsia="Tw Cen MT" w:hAnsi="Tw Cen MT" w:cs="Tw Cen MT"/>
          <w:sz w:val="18"/>
          <w:szCs w:val="18"/>
          <w:lang w:val="en-US"/>
        </w:rPr>
        <w:t>se</w:t>
      </w:r>
      <w:proofErr w:type="spellEnd"/>
      <w:r w:rsidRPr="00543842">
        <w:rPr>
          <w:rFonts w:ascii="Arial" w:eastAsia="Tw Cen MT" w:hAnsi="Tw Cen MT" w:cs="Tw Cen MT"/>
          <w:sz w:val="18"/>
          <w:szCs w:val="18"/>
          <w:lang w:val="en-US"/>
        </w:rPr>
        <w:t xml:space="preserve"> Bouchard, ENSAT, France</w:t>
      </w:r>
    </w:p>
    <w:p w:rsidR="00543842" w:rsidRPr="00543842" w:rsidRDefault="00543842" w:rsidP="00543842">
      <w:pPr>
        <w:widowControl w:val="0"/>
        <w:spacing w:before="73" w:after="0" w:line="198" w:lineRule="exact"/>
        <w:ind w:left="100" w:right="5987"/>
        <w:rPr>
          <w:rFonts w:ascii="Arial" w:eastAsia="Tw Cen MT" w:hAnsi="Tw Cen MT" w:cs="Tw Cen MT"/>
          <w:sz w:val="18"/>
          <w:szCs w:val="18"/>
          <w:lang w:val="en-US"/>
        </w:rPr>
      </w:pPr>
      <w:r w:rsidRPr="00543842">
        <w:rPr>
          <w:rFonts w:ascii="Arial" w:eastAsia="Tw Cen MT" w:hAnsi="Tw Cen MT" w:cs="Tw Cen MT"/>
          <w:sz w:val="18"/>
          <w:szCs w:val="18"/>
          <w:lang w:val="en-US"/>
        </w:rPr>
        <w:t xml:space="preserve">Julie A. </w:t>
      </w:r>
      <w:proofErr w:type="spellStart"/>
      <w:r w:rsidRPr="00543842">
        <w:rPr>
          <w:rFonts w:ascii="Arial" w:eastAsia="Tw Cen MT" w:hAnsi="Tw Cen MT" w:cs="Tw Cen MT"/>
          <w:sz w:val="18"/>
          <w:szCs w:val="18"/>
          <w:lang w:val="en-US"/>
        </w:rPr>
        <w:t>Culbert</w:t>
      </w:r>
      <w:proofErr w:type="spellEnd"/>
      <w:r w:rsidRPr="00543842">
        <w:rPr>
          <w:rFonts w:ascii="Arial" w:eastAsia="Tw Cen MT" w:hAnsi="Tw Cen MT" w:cs="Tw Cen MT"/>
          <w:sz w:val="18"/>
          <w:szCs w:val="18"/>
          <w:lang w:val="en-US"/>
        </w:rPr>
        <w:t xml:space="preserve">, </w:t>
      </w:r>
      <w:proofErr w:type="gramStart"/>
      <w:r w:rsidRPr="00543842">
        <w:rPr>
          <w:rFonts w:ascii="Arial" w:eastAsia="Tw Cen MT" w:hAnsi="Tw Cen MT" w:cs="Tw Cen MT"/>
          <w:sz w:val="18"/>
          <w:szCs w:val="18"/>
          <w:lang w:val="en-US"/>
        </w:rPr>
        <w:t>The</w:t>
      </w:r>
      <w:proofErr w:type="gramEnd"/>
      <w:r w:rsidRPr="00543842">
        <w:rPr>
          <w:rFonts w:ascii="Arial" w:eastAsia="Tw Cen MT" w:hAnsi="Tw Cen MT" w:cs="Tw Cen MT"/>
          <w:sz w:val="18"/>
          <w:szCs w:val="18"/>
          <w:lang w:val="en-US"/>
        </w:rPr>
        <w:t xml:space="preserve"> University of Adelaide, AU</w:t>
      </w:r>
    </w:p>
    <w:p w:rsidR="00543842" w:rsidRPr="00543842" w:rsidRDefault="00543842" w:rsidP="00543842">
      <w:pPr>
        <w:widowControl w:val="0"/>
        <w:spacing w:before="73" w:after="0" w:line="198" w:lineRule="exact"/>
        <w:ind w:left="100" w:right="5987"/>
        <w:rPr>
          <w:rFonts w:ascii="Arial" w:eastAsia="Tw Cen MT" w:hAnsi="Tw Cen MT" w:cs="Tw Cen MT"/>
          <w:sz w:val="18"/>
          <w:szCs w:val="18"/>
          <w:lang w:val="en-US"/>
        </w:rPr>
      </w:pPr>
      <w:r w:rsidRPr="00543842">
        <w:rPr>
          <w:rFonts w:ascii="Arial" w:eastAsia="Tw Cen MT" w:hAnsi="Tw Cen MT" w:cs="Tw Cen MT"/>
          <w:sz w:val="18"/>
          <w:szCs w:val="18"/>
          <w:lang w:val="en-US"/>
        </w:rPr>
        <w:t>Kerry L. Wilkinso</w:t>
      </w:r>
      <w:bookmarkStart w:id="0" w:name="OLE_LINK147"/>
      <w:r w:rsidRPr="00543842">
        <w:rPr>
          <w:rFonts w:ascii="Arial" w:eastAsia="Tw Cen MT" w:hAnsi="Tw Cen MT" w:cs="Tw Cen MT"/>
          <w:sz w:val="18"/>
          <w:szCs w:val="18"/>
          <w:lang w:val="en-US"/>
        </w:rPr>
        <w:t>n</w:t>
      </w:r>
      <w:bookmarkEnd w:id="0"/>
      <w:r w:rsidRPr="00543842">
        <w:rPr>
          <w:rFonts w:ascii="Arial" w:eastAsia="Tw Cen MT" w:hAnsi="Tw Cen MT" w:cs="Tw Cen MT"/>
          <w:sz w:val="18"/>
          <w:szCs w:val="18"/>
          <w:lang w:val="en-US"/>
        </w:rPr>
        <w:t xml:space="preserve">, </w:t>
      </w:r>
      <w:proofErr w:type="gramStart"/>
      <w:r w:rsidRPr="00543842">
        <w:rPr>
          <w:rFonts w:ascii="Arial" w:eastAsia="Tw Cen MT" w:hAnsi="Tw Cen MT" w:cs="Tw Cen MT"/>
          <w:sz w:val="18"/>
          <w:szCs w:val="18"/>
          <w:lang w:val="en-US"/>
        </w:rPr>
        <w:t>The</w:t>
      </w:r>
      <w:proofErr w:type="gramEnd"/>
      <w:r w:rsidRPr="00543842">
        <w:rPr>
          <w:rFonts w:ascii="Arial" w:eastAsia="Tw Cen MT" w:hAnsi="Tw Cen MT" w:cs="Tw Cen MT"/>
          <w:sz w:val="18"/>
          <w:szCs w:val="18"/>
          <w:lang w:val="en-US"/>
        </w:rPr>
        <w:t xml:space="preserve"> University of Adelaide, AU</w:t>
      </w:r>
    </w:p>
    <w:p w:rsidR="00543842" w:rsidRPr="00543842" w:rsidRDefault="00543842" w:rsidP="00543842">
      <w:pPr>
        <w:widowControl w:val="0"/>
        <w:spacing w:before="73" w:after="0" w:line="198" w:lineRule="exact"/>
        <w:ind w:left="100" w:right="5987"/>
        <w:rPr>
          <w:rFonts w:ascii="Arial" w:eastAsia="Tw Cen MT" w:hAnsi="Tw Cen MT" w:cs="Tw Cen MT"/>
          <w:sz w:val="18"/>
          <w:szCs w:val="18"/>
          <w:lang w:val="en-US"/>
        </w:rPr>
      </w:pPr>
      <w:proofErr w:type="spellStart"/>
      <w:r w:rsidRPr="00543842">
        <w:rPr>
          <w:rFonts w:ascii="Arial" w:eastAsia="Tw Cen MT" w:hAnsi="Tw Cen MT" w:cs="Tw Cen MT"/>
          <w:sz w:val="18"/>
          <w:szCs w:val="18"/>
          <w:lang w:val="en-US"/>
        </w:rPr>
        <w:t>Sigfredo</w:t>
      </w:r>
      <w:proofErr w:type="spellEnd"/>
      <w:r w:rsidRPr="00543842">
        <w:rPr>
          <w:rFonts w:ascii="Arial" w:eastAsia="Tw Cen MT" w:hAnsi="Tw Cen MT" w:cs="Tw Cen MT"/>
          <w:sz w:val="18"/>
          <w:szCs w:val="18"/>
          <w:lang w:val="en-US"/>
        </w:rPr>
        <w:t xml:space="preserve"> Fuentes, </w:t>
      </w:r>
      <w:proofErr w:type="gramStart"/>
      <w:r w:rsidRPr="00543842">
        <w:rPr>
          <w:rFonts w:ascii="Arial" w:eastAsia="Tw Cen MT" w:hAnsi="Tw Cen MT" w:cs="Tw Cen MT"/>
          <w:sz w:val="18"/>
          <w:szCs w:val="18"/>
          <w:lang w:val="en-US"/>
        </w:rPr>
        <w:t>The</w:t>
      </w:r>
      <w:proofErr w:type="gramEnd"/>
      <w:r w:rsidRPr="00543842">
        <w:rPr>
          <w:rFonts w:ascii="Arial" w:eastAsia="Tw Cen MT" w:hAnsi="Tw Cen MT" w:cs="Tw Cen MT"/>
          <w:sz w:val="18"/>
          <w:szCs w:val="18"/>
          <w:lang w:val="en-US"/>
        </w:rPr>
        <w:t xml:space="preserve"> University of Melbourne, AU</w:t>
      </w:r>
    </w:p>
    <w:p w:rsidR="00543842" w:rsidRPr="00543842" w:rsidRDefault="00543842" w:rsidP="00543842">
      <w:pPr>
        <w:widowControl w:val="0"/>
        <w:spacing w:before="73" w:after="0" w:line="198" w:lineRule="exact"/>
        <w:ind w:left="100" w:right="5987"/>
        <w:rPr>
          <w:rFonts w:ascii="Arial" w:eastAsia="Tw Cen MT" w:hAnsi="Tw Cen MT" w:cs="Tw Cen MT"/>
          <w:sz w:val="18"/>
          <w:szCs w:val="18"/>
          <w:lang w:val="en-US"/>
        </w:rPr>
        <w:sectPr w:rsidR="00543842" w:rsidRPr="00543842" w:rsidSect="00543842">
          <w:headerReference w:type="default" r:id="rId8"/>
          <w:footerReference w:type="default" r:id="rId9"/>
          <w:pgSz w:w="11910" w:h="16840"/>
          <w:pgMar w:top="720" w:right="720" w:bottom="720" w:left="720" w:header="541" w:footer="642" w:gutter="0"/>
          <w:cols w:space="720"/>
          <w:docGrid w:linePitch="299"/>
        </w:sectPr>
      </w:pPr>
      <w:r w:rsidRPr="00543842">
        <w:rPr>
          <w:rFonts w:ascii="Arial" w:eastAsia="Tw Cen MT" w:hAnsi="Tw Cen MT" w:cs="Tw Cen MT"/>
          <w:sz w:val="18"/>
          <w:szCs w:val="18"/>
          <w:lang w:val="en-US"/>
        </w:rPr>
        <w:t xml:space="preserve">Kate S. Howell*, </w:t>
      </w:r>
      <w:proofErr w:type="gramStart"/>
      <w:r w:rsidRPr="00543842">
        <w:rPr>
          <w:rFonts w:ascii="Arial" w:eastAsia="Tw Cen MT" w:hAnsi="Tw Cen MT" w:cs="Tw Cen MT"/>
          <w:sz w:val="18"/>
          <w:szCs w:val="18"/>
          <w:lang w:val="en-US"/>
        </w:rPr>
        <w:t>The</w:t>
      </w:r>
      <w:proofErr w:type="gramEnd"/>
      <w:r w:rsidRPr="00543842">
        <w:rPr>
          <w:rFonts w:ascii="Arial" w:eastAsia="Tw Cen MT" w:hAnsi="Tw Cen MT" w:cs="Tw Cen MT"/>
          <w:sz w:val="18"/>
          <w:szCs w:val="18"/>
          <w:lang w:val="en-US"/>
        </w:rPr>
        <w:t xml:space="preserve"> University of Melbourne, AU</w:t>
      </w:r>
    </w:p>
    <w:p w:rsidR="00543842" w:rsidRPr="00543842" w:rsidRDefault="00543842" w:rsidP="00543842">
      <w:pPr>
        <w:widowControl w:val="0"/>
        <w:spacing w:before="147" w:after="0" w:line="240" w:lineRule="auto"/>
        <w:ind w:left="100"/>
        <w:jc w:val="both"/>
        <w:outlineLvl w:val="2"/>
        <w:rPr>
          <w:rFonts w:ascii="Arial" w:eastAsia="Arial" w:hAnsi="Arial" w:cs="Arial"/>
          <w:b/>
          <w:bCs/>
          <w:sz w:val="20"/>
          <w:szCs w:val="20"/>
          <w:lang w:val="en-US"/>
        </w:rPr>
      </w:pPr>
      <w:r w:rsidRPr="00543842">
        <w:rPr>
          <w:rFonts w:ascii="Arial" w:eastAsia="Arial" w:hAnsi="Arial" w:cs="Arial"/>
          <w:b/>
          <w:bCs/>
          <w:color w:val="BF5A14"/>
          <w:sz w:val="20"/>
          <w:szCs w:val="20"/>
          <w:lang w:val="en-US"/>
        </w:rPr>
        <w:lastRenderedPageBreak/>
        <w:t xml:space="preserve">Abstract (300 word </w:t>
      </w:r>
      <w:proofErr w:type="gramStart"/>
      <w:r w:rsidRPr="00543842">
        <w:rPr>
          <w:rFonts w:ascii="Arial" w:eastAsia="Arial" w:hAnsi="Arial" w:cs="Arial"/>
          <w:b/>
          <w:bCs/>
          <w:color w:val="BF5A14"/>
          <w:sz w:val="20"/>
          <w:szCs w:val="20"/>
          <w:lang w:val="en-US"/>
        </w:rPr>
        <w:t>limit</w:t>
      </w:r>
      <w:proofErr w:type="gramEnd"/>
      <w:r w:rsidRPr="00543842">
        <w:rPr>
          <w:rFonts w:ascii="Arial" w:eastAsia="Arial" w:hAnsi="Arial" w:cs="Arial"/>
          <w:b/>
          <w:bCs/>
          <w:color w:val="BF5A14"/>
          <w:sz w:val="20"/>
          <w:szCs w:val="20"/>
          <w:lang w:val="en-US"/>
        </w:rPr>
        <w:t>)</w:t>
      </w:r>
    </w:p>
    <w:p w:rsidR="00543842" w:rsidRPr="00543842" w:rsidRDefault="00543842" w:rsidP="00543842">
      <w:pPr>
        <w:widowControl w:val="0"/>
        <w:spacing w:before="90" w:after="0" w:line="280" w:lineRule="auto"/>
        <w:ind w:left="100"/>
        <w:jc w:val="both"/>
        <w:rPr>
          <w:rFonts w:ascii="Tw Cen MT" w:eastAsia="Tw Cen MT" w:hAnsi="Tw Cen MT" w:cs="Tw Cen MT"/>
          <w:sz w:val="18"/>
          <w:szCs w:val="18"/>
          <w:lang w:val="en-US"/>
        </w:rPr>
      </w:pPr>
      <w:r w:rsidRPr="00543842">
        <w:rPr>
          <w:rFonts w:ascii="Tw Cen MT" w:eastAsia="Tw Cen MT" w:hAnsi="Tw Cen MT" w:cs="Tw Cen MT"/>
          <w:b/>
          <w:sz w:val="18"/>
          <w:szCs w:val="18"/>
          <w:lang w:val="en-US"/>
        </w:rPr>
        <w:t>Statement of the Problem:</w:t>
      </w:r>
      <w:r w:rsidRPr="00543842">
        <w:rPr>
          <w:rFonts w:ascii="Tw Cen MT" w:eastAsia="Tw Cen MT" w:hAnsi="Tw Cen MT" w:cs="Tw Cen MT"/>
          <w:sz w:val="18"/>
          <w:szCs w:val="18"/>
          <w:lang w:val="en-US"/>
        </w:rPr>
        <w:t xml:space="preserve"> Given the importance of proteins to influence foam characteristics in sparkling wines, there is increasing interest in rapid, cost-effective and easily accessible methodology for its quantification; which is commonly performed by using the Bradford and BCA assay. Nevertheless, the Bradford assay has recently been shown to be unsuitable for white wine due to interference from phenolic compounds. Furthermore, compounds that reduce Cu2+ to Cu1+ might overestimate the protein content for the BCA assay, while the lack of an official standard might also under- or overestimate protein quantification. </w:t>
      </w:r>
      <w:r w:rsidRPr="00543842">
        <w:rPr>
          <w:rFonts w:ascii="Tw Cen MT" w:eastAsia="Tw Cen MT" w:hAnsi="Tw Cen MT" w:cs="Tw Cen MT"/>
          <w:b/>
          <w:sz w:val="18"/>
          <w:szCs w:val="18"/>
          <w:lang w:val="en-US"/>
        </w:rPr>
        <w:t>The purpose of this study</w:t>
      </w:r>
      <w:r w:rsidRPr="00543842">
        <w:rPr>
          <w:rFonts w:ascii="Tw Cen MT" w:eastAsia="Tw Cen MT" w:hAnsi="Tw Cen MT" w:cs="Tw Cen MT"/>
          <w:sz w:val="18"/>
          <w:szCs w:val="18"/>
          <w:lang w:val="en-US"/>
        </w:rPr>
        <w:t xml:space="preserve"> was to implement modifications on the BCA method, including selection of a suitable standard for protein content determination in sparkling wines in order to quantify proteins related to foam characteristics. It was investigated two incubation times post incubation at 60°C/30 min. (0 </w:t>
      </w:r>
      <w:proofErr w:type="spellStart"/>
      <w:r w:rsidRPr="00543842">
        <w:rPr>
          <w:rFonts w:ascii="Tw Cen MT" w:eastAsia="Tw Cen MT" w:hAnsi="Tw Cen MT" w:cs="Tw Cen MT"/>
          <w:sz w:val="18"/>
          <w:szCs w:val="18"/>
          <w:lang w:val="en-US"/>
        </w:rPr>
        <w:t>hrs</w:t>
      </w:r>
      <w:proofErr w:type="spellEnd"/>
      <w:r w:rsidRPr="00543842">
        <w:rPr>
          <w:rFonts w:ascii="Tw Cen MT" w:eastAsia="Tw Cen MT" w:hAnsi="Tw Cen MT" w:cs="Tw Cen MT"/>
          <w:sz w:val="18"/>
          <w:szCs w:val="18"/>
          <w:lang w:val="en-US"/>
        </w:rPr>
        <w:t xml:space="preserve"> and 24 </w:t>
      </w:r>
      <w:proofErr w:type="spellStart"/>
      <w:r w:rsidRPr="00543842">
        <w:rPr>
          <w:rFonts w:ascii="Tw Cen MT" w:eastAsia="Tw Cen MT" w:hAnsi="Tw Cen MT" w:cs="Tw Cen MT"/>
          <w:sz w:val="18"/>
          <w:szCs w:val="18"/>
          <w:lang w:val="en-US"/>
        </w:rPr>
        <w:t>hrs</w:t>
      </w:r>
      <w:proofErr w:type="spellEnd"/>
      <w:r w:rsidRPr="00543842">
        <w:rPr>
          <w:rFonts w:ascii="Tw Cen MT" w:eastAsia="Tw Cen MT" w:hAnsi="Tw Cen MT" w:cs="Tw Cen MT"/>
          <w:sz w:val="18"/>
          <w:szCs w:val="18"/>
          <w:lang w:val="en-US"/>
        </w:rPr>
        <w:t xml:space="preserve">) and the use of four different standards: albumin from bovine serum, albumin from chicken egg white, lysozyme from chicken egg white, and yeast </w:t>
      </w:r>
      <w:proofErr w:type="spellStart"/>
      <w:r w:rsidRPr="00543842">
        <w:rPr>
          <w:rFonts w:ascii="Tw Cen MT" w:eastAsia="Tw Cen MT" w:hAnsi="Tw Cen MT" w:cs="Tw Cen MT"/>
          <w:sz w:val="18"/>
          <w:szCs w:val="18"/>
          <w:lang w:val="en-US"/>
        </w:rPr>
        <w:t>invertase</w:t>
      </w:r>
      <w:proofErr w:type="spellEnd"/>
      <w:r w:rsidRPr="00543842">
        <w:rPr>
          <w:rFonts w:ascii="Tw Cen MT" w:eastAsia="Tw Cen MT" w:hAnsi="Tw Cen MT" w:cs="Tw Cen MT"/>
          <w:sz w:val="18"/>
          <w:szCs w:val="18"/>
          <w:lang w:val="en-US"/>
        </w:rPr>
        <w:t xml:space="preserve"> from baker’s yeast. Subsequently, the results were statistically </w:t>
      </w:r>
      <w:proofErr w:type="gramStart"/>
      <w:r w:rsidRPr="00543842">
        <w:rPr>
          <w:rFonts w:ascii="Tw Cen MT" w:eastAsia="Tw Cen MT" w:hAnsi="Tw Cen MT" w:cs="Tw Cen MT"/>
          <w:sz w:val="18"/>
          <w:szCs w:val="18"/>
          <w:lang w:val="en-US"/>
        </w:rPr>
        <w:t>correlate</w:t>
      </w:r>
      <w:proofErr w:type="gramEnd"/>
      <w:r w:rsidRPr="00543842">
        <w:rPr>
          <w:rFonts w:ascii="Tw Cen MT" w:eastAsia="Tw Cen MT" w:hAnsi="Tw Cen MT" w:cs="Tw Cen MT"/>
          <w:sz w:val="18"/>
          <w:szCs w:val="18"/>
          <w:lang w:val="en-US"/>
        </w:rPr>
        <w:t xml:space="preserve"> to foam parameters obtained by using a robotic pourer and image analysis algorithms. </w:t>
      </w:r>
      <w:r w:rsidRPr="00543842">
        <w:rPr>
          <w:rFonts w:ascii="Tw Cen MT" w:eastAsia="Tw Cen MT" w:hAnsi="Tw Cen MT" w:cs="Tw Cen MT"/>
          <w:b/>
          <w:sz w:val="18"/>
          <w:szCs w:val="18"/>
          <w:lang w:val="en-US"/>
        </w:rPr>
        <w:t xml:space="preserve">Findings: </w:t>
      </w:r>
      <w:r w:rsidRPr="00543842">
        <w:rPr>
          <w:rFonts w:ascii="Tw Cen MT" w:eastAsia="Tw Cen MT" w:hAnsi="Tw Cen MT" w:cs="Tw Cen MT"/>
          <w:sz w:val="18"/>
          <w:szCs w:val="18"/>
          <w:lang w:val="en-US"/>
        </w:rPr>
        <w:t>The protein content determined by using the modifications suggested in this study were correlated to foam stability in sparkling wines, thus, the method here presented showed suitability for protein quantification. The modifications include rate of 50:2 (Reagent A to Reagent B), ultrafiltration to remove interfering comp</w:t>
      </w:r>
      <w:bookmarkStart w:id="1" w:name="_GoBack"/>
      <w:bookmarkEnd w:id="1"/>
      <w:r w:rsidRPr="00543842">
        <w:rPr>
          <w:rFonts w:ascii="Tw Cen MT" w:eastAsia="Tw Cen MT" w:hAnsi="Tw Cen MT" w:cs="Tw Cen MT"/>
          <w:sz w:val="18"/>
          <w:szCs w:val="18"/>
          <w:lang w:val="en-US"/>
        </w:rPr>
        <w:t xml:space="preserve">ounds, incubation at 60°C/30 min. followed by overnight incubation at room temperature and the use of yeast </w:t>
      </w:r>
      <w:proofErr w:type="spellStart"/>
      <w:r w:rsidRPr="00543842">
        <w:rPr>
          <w:rFonts w:ascii="Tw Cen MT" w:eastAsia="Tw Cen MT" w:hAnsi="Tw Cen MT" w:cs="Tw Cen MT"/>
          <w:sz w:val="18"/>
          <w:szCs w:val="18"/>
          <w:lang w:val="en-US"/>
        </w:rPr>
        <w:t>invertase</w:t>
      </w:r>
      <w:proofErr w:type="spellEnd"/>
      <w:r w:rsidRPr="00543842">
        <w:rPr>
          <w:rFonts w:ascii="Tw Cen MT" w:eastAsia="Tw Cen MT" w:hAnsi="Tw Cen MT" w:cs="Tw Cen MT"/>
          <w:sz w:val="18"/>
          <w:szCs w:val="18"/>
          <w:lang w:val="en-US"/>
        </w:rPr>
        <w:t xml:space="preserve"> as standard. </w:t>
      </w:r>
      <w:r w:rsidRPr="00543842">
        <w:rPr>
          <w:rFonts w:ascii="Tw Cen MT" w:eastAsia="Tw Cen MT" w:hAnsi="Tw Cen MT" w:cs="Tw Cen MT"/>
          <w:b/>
          <w:sz w:val="18"/>
          <w:szCs w:val="18"/>
          <w:lang w:val="en-US"/>
        </w:rPr>
        <w:t>Conclusion &amp; Significance:</w:t>
      </w:r>
      <w:r w:rsidRPr="00543842">
        <w:rPr>
          <w:rFonts w:ascii="Tw Cen MT" w:eastAsia="Tw Cen MT" w:hAnsi="Tw Cen MT" w:cs="Tw Cen MT"/>
          <w:sz w:val="18"/>
          <w:szCs w:val="18"/>
          <w:lang w:val="en-US"/>
        </w:rPr>
        <w:t xml:space="preserve"> The protein content quantified by using the modifications here presented was significant correlated to parameters representative of foam stability. Thus, the BCA method could be easily adapted to research centers and wine laboratories, providing an opportunity to monitoring and controlling the protein content during sparkling winemaking and, consequently, influencing positively sparkling wine quality.</w:t>
      </w:r>
    </w:p>
    <w:p w:rsidR="00543842" w:rsidRPr="00543842" w:rsidRDefault="00543842" w:rsidP="00543842">
      <w:pPr>
        <w:widowControl w:val="0"/>
        <w:spacing w:before="74" w:after="0" w:line="240" w:lineRule="auto"/>
        <w:ind w:left="100"/>
        <w:outlineLvl w:val="2"/>
        <w:rPr>
          <w:rFonts w:ascii="Arial" w:eastAsia="Arial" w:hAnsi="Arial" w:cs="Arial"/>
          <w:bCs/>
          <w:sz w:val="20"/>
          <w:szCs w:val="20"/>
          <w:lang w:val="en-US"/>
        </w:rPr>
      </w:pPr>
      <w:r w:rsidRPr="00543842">
        <w:rPr>
          <w:rFonts w:ascii="Arial" w:eastAsia="Arial" w:hAnsi="Arial" w:cs="Arial"/>
          <w:b/>
          <w:bCs/>
          <w:color w:val="BF5A14"/>
          <w:sz w:val="20"/>
          <w:szCs w:val="20"/>
          <w:lang w:val="en-US"/>
        </w:rPr>
        <w:t>Image</w:t>
      </w:r>
      <w:r w:rsidRPr="00543842">
        <w:rPr>
          <w:rFonts w:ascii="Arial" w:eastAsia="Arial" w:hAnsi="Arial" w:cs="Arial"/>
          <w:bCs/>
          <w:sz w:val="20"/>
          <w:szCs w:val="20"/>
          <w:lang w:val="en-US"/>
        </w:rPr>
        <w:t xml:space="preserve"> </w:t>
      </w:r>
    </w:p>
    <w:p w:rsidR="00543842" w:rsidRPr="00543842" w:rsidRDefault="00543842" w:rsidP="00543842">
      <w:pPr>
        <w:widowControl w:val="0"/>
        <w:spacing w:before="74" w:after="0" w:line="240" w:lineRule="auto"/>
        <w:ind w:left="100"/>
        <w:outlineLvl w:val="2"/>
        <w:rPr>
          <w:rFonts w:ascii="Arial" w:eastAsia="Arial" w:hAnsi="Arial" w:cs="Arial"/>
          <w:bCs/>
          <w:sz w:val="20"/>
          <w:szCs w:val="20"/>
          <w:lang w:val="en-US"/>
        </w:rPr>
      </w:pPr>
      <w:r w:rsidRPr="00543842">
        <w:rPr>
          <w:rFonts w:ascii="Arial" w:eastAsia="Arial" w:hAnsi="Arial" w:cs="Arial"/>
          <w:bCs/>
          <w:noProof/>
          <w:sz w:val="16"/>
          <w:szCs w:val="20"/>
          <w:lang w:eastAsia="en-AU"/>
        </w:rPr>
        <w:drawing>
          <wp:inline distT="0" distB="0" distL="0" distR="0" wp14:anchorId="311940C5" wp14:editId="30D6A3AD">
            <wp:extent cx="3165475" cy="914835"/>
            <wp:effectExtent l="0" t="0" r="0" b="0"/>
            <wp:docPr id="1" name="Picture 1" descr="C:\Users\blima\Dropbox\PhD\Journal Manuscripts\JAgri and Food Chem\Submission\Figures\Figur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lima\Dropbox\PhD\Journal Manuscripts\JAgri and Food Chem\Submission\Figures\Figure1.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914835"/>
                    </a:xfrm>
                    <a:prstGeom prst="rect">
                      <a:avLst/>
                    </a:prstGeom>
                    <a:noFill/>
                    <a:ln>
                      <a:noFill/>
                    </a:ln>
                  </pic:spPr>
                </pic:pic>
              </a:graphicData>
            </a:graphic>
          </wp:inline>
        </w:drawing>
      </w:r>
    </w:p>
    <w:p w:rsidR="00543842" w:rsidRPr="00543842" w:rsidRDefault="00543842" w:rsidP="00543842">
      <w:pPr>
        <w:widowControl w:val="0"/>
        <w:spacing w:before="90" w:after="0" w:line="280" w:lineRule="auto"/>
        <w:ind w:left="100"/>
        <w:jc w:val="both"/>
        <w:rPr>
          <w:rFonts w:ascii="Tw Cen MT" w:eastAsia="Tw Cen MT" w:hAnsi="Tw Cen MT" w:cs="Tw Cen MT"/>
          <w:b/>
          <w:sz w:val="18"/>
          <w:szCs w:val="18"/>
          <w:lang w:val="en-US"/>
        </w:rPr>
      </w:pPr>
      <w:proofErr w:type="gramStart"/>
      <w:r w:rsidRPr="00543842">
        <w:rPr>
          <w:rFonts w:ascii="Tw Cen MT" w:eastAsia="Tw Cen MT" w:hAnsi="Tw Cen MT" w:cs="Tw Cen MT"/>
          <w:b/>
          <w:sz w:val="18"/>
          <w:szCs w:val="18"/>
          <w:lang w:val="en-US"/>
        </w:rPr>
        <w:t>Fig. 1.</w:t>
      </w:r>
      <w:proofErr w:type="gramEnd"/>
      <w:r w:rsidRPr="00543842">
        <w:rPr>
          <w:rFonts w:ascii="Tw Cen MT" w:eastAsia="Tw Cen MT" w:hAnsi="Tw Cen MT" w:cs="Tw Cen MT"/>
          <w:b/>
          <w:sz w:val="18"/>
          <w:szCs w:val="18"/>
          <w:lang w:val="en-US"/>
        </w:rPr>
        <w:t xml:space="preserve"> </w:t>
      </w:r>
      <w:r w:rsidRPr="00543842">
        <w:rPr>
          <w:rFonts w:ascii="Tw Cen MT" w:eastAsia="Tw Cen MT" w:hAnsi="Tw Cen MT" w:cs="Tw Cen MT"/>
          <w:sz w:val="18"/>
          <w:szCs w:val="18"/>
          <w:lang w:val="en-US"/>
        </w:rPr>
        <w:t>Summary of methodology used for quantification of protein content using Pierce BCA assay.</w:t>
      </w:r>
    </w:p>
    <w:p w:rsidR="00543842" w:rsidRPr="00543842" w:rsidRDefault="00543842" w:rsidP="00543842">
      <w:pPr>
        <w:widowControl w:val="0"/>
        <w:spacing w:before="74" w:after="0" w:line="240" w:lineRule="auto"/>
        <w:ind w:left="100"/>
        <w:outlineLvl w:val="2"/>
        <w:rPr>
          <w:rFonts w:ascii="Arial" w:eastAsia="Arial" w:hAnsi="Arial" w:cs="Arial"/>
          <w:b/>
          <w:bCs/>
          <w:sz w:val="20"/>
          <w:szCs w:val="20"/>
          <w:lang w:val="en-US"/>
        </w:rPr>
      </w:pPr>
      <w:r w:rsidRPr="00543842">
        <w:rPr>
          <w:rFonts w:ascii="Arial" w:eastAsia="Arial" w:hAnsi="Arial" w:cs="Arial"/>
          <w:bCs/>
          <w:sz w:val="20"/>
          <w:szCs w:val="20"/>
          <w:lang w:val="en-US"/>
        </w:rPr>
        <w:br w:type="column"/>
      </w:r>
      <w:r w:rsidRPr="00543842">
        <w:rPr>
          <w:rFonts w:ascii="Arial" w:eastAsia="Arial" w:hAnsi="Arial" w:cs="Arial"/>
          <w:b/>
          <w:bCs/>
          <w:color w:val="BF5A14"/>
          <w:sz w:val="20"/>
          <w:szCs w:val="20"/>
          <w:lang w:val="en-US"/>
        </w:rPr>
        <w:lastRenderedPageBreak/>
        <w:t>Image</w:t>
      </w:r>
    </w:p>
    <w:p w:rsidR="00543842" w:rsidRPr="00543842" w:rsidRDefault="00543842" w:rsidP="00543842">
      <w:pPr>
        <w:widowControl w:val="0"/>
        <w:spacing w:before="2" w:after="0" w:line="240" w:lineRule="auto"/>
        <w:rPr>
          <w:rFonts w:ascii="Arial" w:eastAsia="Tw Cen MT" w:hAnsi="Tw Cen MT" w:cs="Tw Cen MT"/>
          <w:b/>
          <w:sz w:val="16"/>
          <w:szCs w:val="18"/>
          <w:lang w:val="en-US"/>
        </w:rPr>
      </w:pPr>
      <w:r w:rsidRPr="00543842">
        <w:rPr>
          <w:rFonts w:ascii="Arial" w:eastAsia="Tw Cen MT" w:hAnsi="Tw Cen MT" w:cs="Tw Cen MT"/>
          <w:b/>
          <w:noProof/>
          <w:sz w:val="16"/>
          <w:szCs w:val="18"/>
          <w:lang w:eastAsia="en-AU"/>
        </w:rPr>
        <w:drawing>
          <wp:anchor distT="0" distB="0" distL="114300" distR="114300" simplePos="0" relativeHeight="251660288" behindDoc="0" locked="0" layoutInCell="1" allowOverlap="1" wp14:anchorId="35520315" wp14:editId="264D114D">
            <wp:simplePos x="0" y="0"/>
            <wp:positionH relativeFrom="column">
              <wp:posOffset>41275</wp:posOffset>
            </wp:positionH>
            <wp:positionV relativeFrom="paragraph">
              <wp:posOffset>6350</wp:posOffset>
            </wp:positionV>
            <wp:extent cx="1920240" cy="1323975"/>
            <wp:effectExtent l="0" t="0" r="3810" b="9525"/>
            <wp:wrapNone/>
            <wp:docPr id="6" name="Picture 6" descr="C:\Users\blima\Dropbox\PhD\Journal Manuscripts\JAgri and Food Chem\Submission\Figures\Figure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lima\Dropbox\PhD\Journal Manuscripts\JAgri and Food Chem\Submission\Figures\Figure3.tif"/>
                    <pic:cNvPicPr>
                      <a:picLocks noChangeAspect="1" noChangeArrowheads="1"/>
                    </pic:cNvPicPr>
                  </pic:nvPicPr>
                  <pic:blipFill rotWithShape="1">
                    <a:blip r:embed="rId11">
                      <a:extLst>
                        <a:ext uri="{28A0092B-C50C-407E-A947-70E740481C1C}">
                          <a14:useLocalDpi xmlns:a14="http://schemas.microsoft.com/office/drawing/2010/main" val="0"/>
                        </a:ext>
                      </a:extLst>
                    </a:blip>
                    <a:srcRect t="5442"/>
                    <a:stretch/>
                  </pic:blipFill>
                  <pic:spPr bwMode="auto">
                    <a:xfrm>
                      <a:off x="0" y="0"/>
                      <a:ext cx="1920240" cy="1323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43842" w:rsidRPr="00543842" w:rsidRDefault="00543842" w:rsidP="00543842">
      <w:pPr>
        <w:widowControl w:val="0"/>
        <w:spacing w:before="2" w:after="0" w:line="240" w:lineRule="auto"/>
        <w:rPr>
          <w:rFonts w:ascii="Arial" w:eastAsia="Tw Cen MT" w:hAnsi="Tw Cen MT" w:cs="Tw Cen MT"/>
          <w:b/>
          <w:sz w:val="16"/>
          <w:szCs w:val="18"/>
          <w:lang w:val="en-US"/>
        </w:rPr>
      </w:pPr>
    </w:p>
    <w:p w:rsidR="00543842" w:rsidRPr="00543842" w:rsidRDefault="00543842" w:rsidP="00543842">
      <w:pPr>
        <w:widowControl w:val="0"/>
        <w:spacing w:before="90" w:after="0" w:line="280" w:lineRule="auto"/>
        <w:ind w:left="100"/>
        <w:jc w:val="both"/>
        <w:rPr>
          <w:rFonts w:ascii="Tw Cen MT" w:eastAsia="Tw Cen MT" w:hAnsi="Tw Cen MT" w:cs="Tw Cen MT"/>
          <w:b/>
          <w:sz w:val="18"/>
          <w:szCs w:val="18"/>
          <w:lang w:val="en-US"/>
        </w:rPr>
      </w:pPr>
    </w:p>
    <w:p w:rsidR="00543842" w:rsidRPr="00543842" w:rsidRDefault="00543842" w:rsidP="00543842">
      <w:pPr>
        <w:widowControl w:val="0"/>
        <w:spacing w:before="90" w:after="0" w:line="280" w:lineRule="auto"/>
        <w:ind w:left="100"/>
        <w:jc w:val="both"/>
        <w:rPr>
          <w:rFonts w:ascii="Tw Cen MT" w:eastAsia="Tw Cen MT" w:hAnsi="Tw Cen MT" w:cs="Tw Cen MT"/>
          <w:b/>
          <w:sz w:val="18"/>
          <w:szCs w:val="18"/>
          <w:lang w:val="en-US"/>
        </w:rPr>
      </w:pPr>
    </w:p>
    <w:p w:rsidR="00543842" w:rsidRPr="00543842" w:rsidRDefault="00543842" w:rsidP="00543842">
      <w:pPr>
        <w:widowControl w:val="0"/>
        <w:spacing w:before="90" w:after="0" w:line="280" w:lineRule="auto"/>
        <w:ind w:left="100"/>
        <w:jc w:val="both"/>
        <w:rPr>
          <w:rFonts w:ascii="Tw Cen MT" w:eastAsia="Tw Cen MT" w:hAnsi="Tw Cen MT" w:cs="Tw Cen MT"/>
          <w:b/>
          <w:sz w:val="18"/>
          <w:szCs w:val="18"/>
          <w:lang w:val="en-US"/>
        </w:rPr>
      </w:pPr>
    </w:p>
    <w:p w:rsidR="00543842" w:rsidRPr="00543842" w:rsidRDefault="00543842" w:rsidP="00543842">
      <w:pPr>
        <w:widowControl w:val="0"/>
        <w:spacing w:before="90" w:after="0" w:line="280" w:lineRule="auto"/>
        <w:ind w:left="100"/>
        <w:jc w:val="both"/>
        <w:rPr>
          <w:rFonts w:ascii="Tw Cen MT" w:eastAsia="Tw Cen MT" w:hAnsi="Tw Cen MT" w:cs="Tw Cen MT"/>
          <w:b/>
          <w:sz w:val="18"/>
          <w:szCs w:val="18"/>
          <w:lang w:val="en-US"/>
        </w:rPr>
      </w:pPr>
    </w:p>
    <w:p w:rsidR="00543842" w:rsidRPr="00543842" w:rsidRDefault="00543842" w:rsidP="00543842">
      <w:pPr>
        <w:widowControl w:val="0"/>
        <w:spacing w:before="90" w:after="0" w:line="280" w:lineRule="auto"/>
        <w:ind w:left="100"/>
        <w:jc w:val="both"/>
        <w:rPr>
          <w:rFonts w:ascii="Tw Cen MT" w:eastAsia="Tw Cen MT" w:hAnsi="Tw Cen MT" w:cs="Tw Cen MT"/>
          <w:b/>
          <w:sz w:val="18"/>
          <w:szCs w:val="18"/>
          <w:lang w:val="en-US"/>
        </w:rPr>
      </w:pPr>
    </w:p>
    <w:p w:rsidR="00543842" w:rsidRPr="00543842" w:rsidRDefault="00543842" w:rsidP="00543842">
      <w:pPr>
        <w:widowControl w:val="0"/>
        <w:spacing w:before="90" w:after="0" w:line="280" w:lineRule="auto"/>
        <w:ind w:left="100"/>
        <w:jc w:val="both"/>
        <w:rPr>
          <w:rFonts w:ascii="Tw Cen MT" w:eastAsia="Tw Cen MT" w:hAnsi="Tw Cen MT" w:cs="Tw Cen MT"/>
          <w:b/>
          <w:sz w:val="18"/>
          <w:szCs w:val="18"/>
          <w:lang w:val="en-US"/>
        </w:rPr>
      </w:pPr>
      <w:proofErr w:type="gramStart"/>
      <w:r w:rsidRPr="00543842">
        <w:rPr>
          <w:rFonts w:ascii="Tw Cen MT" w:eastAsia="Tw Cen MT" w:hAnsi="Tw Cen MT" w:cs="Tw Cen MT"/>
          <w:b/>
          <w:sz w:val="18"/>
          <w:szCs w:val="18"/>
          <w:lang w:val="en-US"/>
        </w:rPr>
        <w:t>Fig. 2.</w:t>
      </w:r>
      <w:proofErr w:type="gramEnd"/>
      <w:r w:rsidRPr="00543842">
        <w:rPr>
          <w:rFonts w:ascii="Tw Cen MT" w:eastAsia="Tw Cen MT" w:hAnsi="Tw Cen MT" w:cs="Tw Cen MT"/>
          <w:b/>
          <w:sz w:val="18"/>
          <w:szCs w:val="18"/>
          <w:lang w:val="en-US"/>
        </w:rPr>
        <w:t xml:space="preserve"> </w:t>
      </w:r>
      <w:r w:rsidRPr="00543842">
        <w:rPr>
          <w:rFonts w:ascii="Tw Cen MT" w:eastAsia="Tw Cen MT" w:hAnsi="Tw Cen MT" w:cs="Tw Cen MT"/>
          <w:sz w:val="18"/>
          <w:szCs w:val="18"/>
          <w:lang w:val="en-US"/>
        </w:rPr>
        <w:t xml:space="preserve">Scatterplot of absorbance measurements taken at different incubation times (i.e. at 0 and 24 </w:t>
      </w:r>
      <w:proofErr w:type="spellStart"/>
      <w:r w:rsidRPr="00543842">
        <w:rPr>
          <w:rFonts w:ascii="Tw Cen MT" w:eastAsia="Tw Cen MT" w:hAnsi="Tw Cen MT" w:cs="Tw Cen MT"/>
          <w:sz w:val="18"/>
          <w:szCs w:val="18"/>
          <w:lang w:val="en-US"/>
        </w:rPr>
        <w:t>hr</w:t>
      </w:r>
      <w:proofErr w:type="spellEnd"/>
      <w:proofErr w:type="gramStart"/>
      <w:r w:rsidRPr="00543842">
        <w:rPr>
          <w:rFonts w:ascii="Tw Cen MT" w:eastAsia="Tw Cen MT" w:hAnsi="Tw Cen MT" w:cs="Tw Cen MT"/>
          <w:sz w:val="18"/>
          <w:szCs w:val="18"/>
          <w:lang w:val="en-US"/>
        </w:rPr>
        <w:t>)for</w:t>
      </w:r>
      <w:proofErr w:type="gramEnd"/>
      <w:r w:rsidRPr="00543842">
        <w:rPr>
          <w:rFonts w:ascii="Tw Cen MT" w:eastAsia="Tw Cen MT" w:hAnsi="Tw Cen MT" w:cs="Tw Cen MT"/>
          <w:sz w:val="18"/>
          <w:szCs w:val="18"/>
          <w:lang w:val="en-US"/>
        </w:rPr>
        <w:t xml:space="preserve"> the different standards evaluated.</w:t>
      </w:r>
      <w:r w:rsidRPr="00543842">
        <w:rPr>
          <w:rFonts w:ascii="Arial" w:eastAsia="Tw Cen MT" w:hAnsi="Tw Cen MT" w:cs="Tw Cen MT"/>
          <w:b/>
          <w:noProof/>
          <w:sz w:val="16"/>
          <w:szCs w:val="18"/>
          <w:lang w:eastAsia="en-AU"/>
        </w:rPr>
        <w:t xml:space="preserve"> </w:t>
      </w:r>
    </w:p>
    <w:p w:rsidR="00543842" w:rsidRPr="00543842" w:rsidRDefault="00543842" w:rsidP="00543842">
      <w:pPr>
        <w:widowControl w:val="0"/>
        <w:spacing w:before="90" w:after="0" w:line="280" w:lineRule="auto"/>
        <w:ind w:left="100"/>
        <w:jc w:val="both"/>
        <w:rPr>
          <w:rFonts w:ascii="Tw Cen MT" w:eastAsia="Tw Cen MT" w:hAnsi="Tw Cen MT" w:cs="Tw Cen MT"/>
          <w:b/>
          <w:sz w:val="18"/>
          <w:szCs w:val="18"/>
          <w:lang w:val="en-US"/>
        </w:rPr>
      </w:pPr>
      <w:r w:rsidRPr="00543842">
        <w:rPr>
          <w:rFonts w:ascii="Arial" w:eastAsia="Tw Cen MT" w:hAnsi="Tw Cen MT" w:cs="Tw Cen MT"/>
          <w:b/>
          <w:noProof/>
          <w:sz w:val="16"/>
          <w:szCs w:val="18"/>
          <w:lang w:eastAsia="en-AU"/>
        </w:rPr>
        <w:drawing>
          <wp:inline distT="0" distB="0" distL="0" distR="0" wp14:anchorId="759D7430" wp14:editId="347F3EA3">
            <wp:extent cx="3334986" cy="1425039"/>
            <wp:effectExtent l="0" t="0" r="0" b="3810"/>
            <wp:docPr id="12" name="Picture 12" descr="C:\Users\blima\Dropbox\PhD\Journal Manuscripts\JAgri and Food Chem\Submission\Figures\Figur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lima\Dropbox\PhD\Journal Manuscripts\JAgri and Food Chem\Submission\Figures\Figure2.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43590" cy="1428715"/>
                    </a:xfrm>
                    <a:prstGeom prst="rect">
                      <a:avLst/>
                    </a:prstGeom>
                    <a:noFill/>
                    <a:ln>
                      <a:noFill/>
                    </a:ln>
                  </pic:spPr>
                </pic:pic>
              </a:graphicData>
            </a:graphic>
          </wp:inline>
        </w:drawing>
      </w:r>
    </w:p>
    <w:p w:rsidR="00543842" w:rsidRPr="00543842" w:rsidRDefault="00543842" w:rsidP="00543842">
      <w:pPr>
        <w:widowControl w:val="0"/>
        <w:spacing w:before="90" w:after="0" w:line="280" w:lineRule="auto"/>
        <w:ind w:left="100"/>
        <w:jc w:val="both"/>
        <w:rPr>
          <w:rFonts w:ascii="Tw Cen MT" w:eastAsia="Tw Cen MT" w:hAnsi="Tw Cen MT" w:cs="Tw Cen MT"/>
          <w:b/>
          <w:sz w:val="18"/>
          <w:szCs w:val="18"/>
          <w:lang w:val="en-US"/>
        </w:rPr>
      </w:pPr>
      <w:proofErr w:type="gramStart"/>
      <w:r w:rsidRPr="00543842">
        <w:rPr>
          <w:rFonts w:ascii="Tw Cen MT" w:eastAsia="Tw Cen MT" w:hAnsi="Tw Cen MT" w:cs="Tw Cen MT"/>
          <w:b/>
          <w:sz w:val="18"/>
          <w:szCs w:val="18"/>
          <w:lang w:val="en-US"/>
        </w:rPr>
        <w:t>Fig. 3.</w:t>
      </w:r>
      <w:proofErr w:type="gramEnd"/>
      <w:r w:rsidRPr="00543842">
        <w:rPr>
          <w:rFonts w:ascii="Tw Cen MT" w:eastAsia="Tw Cen MT" w:hAnsi="Tw Cen MT" w:cs="Tw Cen MT"/>
          <w:sz w:val="18"/>
          <w:szCs w:val="18"/>
          <w:lang w:val="en-US"/>
        </w:rPr>
        <w:t xml:space="preserve"> </w:t>
      </w:r>
      <w:proofErr w:type="gramStart"/>
      <w:r w:rsidRPr="00543842">
        <w:rPr>
          <w:rFonts w:ascii="Tw Cen MT" w:eastAsia="Tw Cen MT" w:hAnsi="Tw Cen MT" w:cs="Tw Cen MT"/>
          <w:sz w:val="18"/>
          <w:szCs w:val="18"/>
          <w:lang w:val="en-US"/>
        </w:rPr>
        <w:t>(a) Relationship between initial absorbance and rate of color change; (b) boxplot of protein content based on absorbance measurements at 0 and 24 hr.</w:t>
      </w:r>
      <w:proofErr w:type="gramEnd"/>
    </w:p>
    <w:p w:rsidR="00543842" w:rsidRPr="00543842" w:rsidRDefault="00543842" w:rsidP="00543842">
      <w:pPr>
        <w:widowControl w:val="0"/>
        <w:spacing w:after="0" w:line="204" w:lineRule="exact"/>
        <w:rPr>
          <w:rFonts w:ascii="Arial" w:eastAsia="Tw Cen MT" w:hAnsi="Tw Cen MT" w:cs="Tw Cen MT"/>
          <w:b/>
          <w:sz w:val="20"/>
          <w:lang w:val="en-US"/>
        </w:rPr>
      </w:pPr>
      <w:r w:rsidRPr="00543842">
        <w:rPr>
          <w:rFonts w:ascii="Arial" w:eastAsia="Tw Cen MT" w:hAnsi="Tw Cen MT" w:cs="Tw Cen MT"/>
          <w:b/>
          <w:color w:val="BF5A14"/>
          <w:sz w:val="20"/>
          <w:lang w:val="en-US"/>
        </w:rPr>
        <w:br/>
        <w:t>Recent Publications (minimum 5)</w:t>
      </w:r>
    </w:p>
    <w:p w:rsidR="00543842" w:rsidRPr="00543842" w:rsidRDefault="00543842" w:rsidP="00543842">
      <w:pPr>
        <w:widowControl w:val="0"/>
        <w:numPr>
          <w:ilvl w:val="0"/>
          <w:numId w:val="1"/>
        </w:numPr>
        <w:tabs>
          <w:tab w:val="left" w:pos="384"/>
        </w:tabs>
        <w:spacing w:before="90" w:after="0" w:line="216" w:lineRule="exact"/>
        <w:ind w:right="138" w:hanging="283"/>
        <w:jc w:val="both"/>
        <w:rPr>
          <w:rFonts w:ascii="Calibri" w:eastAsia="Calibri" w:hAnsi="Calibri" w:cs="Calibri"/>
          <w:sz w:val="16"/>
          <w:lang w:val="en-US"/>
        </w:rPr>
      </w:pPr>
      <w:proofErr w:type="spellStart"/>
      <w:r w:rsidRPr="00543842">
        <w:rPr>
          <w:rFonts w:ascii="Calibri" w:eastAsia="Calibri" w:hAnsi="Calibri" w:cs="Segoe UI"/>
          <w:sz w:val="16"/>
          <w:szCs w:val="18"/>
        </w:rPr>
        <w:t>Culbert</w:t>
      </w:r>
      <w:proofErr w:type="spellEnd"/>
      <w:r w:rsidRPr="00543842">
        <w:rPr>
          <w:rFonts w:ascii="Calibri" w:eastAsia="Calibri" w:hAnsi="Calibri" w:cs="Segoe UI"/>
          <w:sz w:val="16"/>
          <w:szCs w:val="18"/>
        </w:rPr>
        <w:t xml:space="preserve"> JA, McRae JM, </w:t>
      </w:r>
      <w:r w:rsidRPr="00543842">
        <w:rPr>
          <w:rFonts w:ascii="Calibri" w:eastAsia="Calibri" w:hAnsi="Calibri" w:cs="Segoe UI"/>
          <w:sz w:val="16"/>
          <w:szCs w:val="18"/>
          <w:u w:val="single"/>
        </w:rPr>
        <w:t>Condé BC</w:t>
      </w:r>
      <w:r w:rsidRPr="00543842">
        <w:rPr>
          <w:rFonts w:ascii="Calibri" w:eastAsia="Calibri" w:hAnsi="Calibri" w:cs="Segoe UI"/>
          <w:sz w:val="16"/>
          <w:szCs w:val="18"/>
        </w:rPr>
        <w:t xml:space="preserve">, </w:t>
      </w:r>
      <w:proofErr w:type="spellStart"/>
      <w:r w:rsidRPr="00543842">
        <w:rPr>
          <w:rFonts w:ascii="Calibri" w:eastAsia="Calibri" w:hAnsi="Calibri" w:cs="Segoe UI"/>
          <w:sz w:val="16"/>
          <w:szCs w:val="18"/>
        </w:rPr>
        <w:t>Schmidtke</w:t>
      </w:r>
      <w:proofErr w:type="spellEnd"/>
      <w:r w:rsidRPr="00543842">
        <w:rPr>
          <w:rFonts w:ascii="Calibri" w:eastAsia="Calibri" w:hAnsi="Calibri" w:cs="Segoe UI"/>
          <w:sz w:val="16"/>
          <w:szCs w:val="18"/>
        </w:rPr>
        <w:t xml:space="preserve"> LM, Nicholson EL, Smith PA, Howell KS, Boss PK, Wilkinson KL (2017) Influence of production method on the chemical composition, foaming properties, and quality of </w:t>
      </w:r>
      <w:proofErr w:type="spellStart"/>
      <w:r w:rsidRPr="00543842">
        <w:rPr>
          <w:rFonts w:ascii="Calibri" w:eastAsia="Calibri" w:hAnsi="Calibri" w:cs="Segoe UI"/>
          <w:sz w:val="16"/>
          <w:szCs w:val="18"/>
        </w:rPr>
        <w:t>australian</w:t>
      </w:r>
      <w:proofErr w:type="spellEnd"/>
      <w:r w:rsidRPr="00543842">
        <w:rPr>
          <w:rFonts w:ascii="Calibri" w:eastAsia="Calibri" w:hAnsi="Calibri" w:cs="Segoe UI"/>
          <w:sz w:val="16"/>
          <w:szCs w:val="18"/>
        </w:rPr>
        <w:t xml:space="preserve"> carbonated and sparkling white wines. </w:t>
      </w:r>
      <w:r w:rsidRPr="00543842">
        <w:rPr>
          <w:rFonts w:ascii="Calibri" w:eastAsia="Calibri" w:hAnsi="Calibri" w:cs="Segoe UI"/>
          <w:iCs/>
          <w:sz w:val="16"/>
          <w:szCs w:val="18"/>
        </w:rPr>
        <w:t xml:space="preserve">J. Agric. Food. Chem. </w:t>
      </w:r>
    </w:p>
    <w:p w:rsidR="00543842" w:rsidRPr="00543842" w:rsidRDefault="00543842" w:rsidP="00543842">
      <w:pPr>
        <w:widowControl w:val="0"/>
        <w:numPr>
          <w:ilvl w:val="0"/>
          <w:numId w:val="1"/>
        </w:numPr>
        <w:tabs>
          <w:tab w:val="left" w:pos="384"/>
        </w:tabs>
        <w:spacing w:before="90" w:after="0" w:line="216" w:lineRule="exact"/>
        <w:ind w:right="138" w:hanging="283"/>
        <w:jc w:val="both"/>
        <w:rPr>
          <w:rFonts w:ascii="Calibri" w:eastAsia="Calibri" w:hAnsi="Calibri" w:cs="Calibri"/>
          <w:sz w:val="16"/>
          <w:lang w:val="en-US"/>
        </w:rPr>
      </w:pPr>
      <w:r w:rsidRPr="00543842">
        <w:rPr>
          <w:rFonts w:ascii="Calibri" w:eastAsia="Calibri" w:hAnsi="Calibri" w:cs="Segoe UI"/>
          <w:sz w:val="16"/>
          <w:szCs w:val="18"/>
          <w:u w:val="single"/>
        </w:rPr>
        <w:t xml:space="preserve">Condé BC, </w:t>
      </w:r>
      <w:r w:rsidRPr="00543842">
        <w:rPr>
          <w:rFonts w:ascii="Calibri" w:eastAsia="Calibri" w:hAnsi="Calibri" w:cs="Segoe UI"/>
          <w:sz w:val="16"/>
          <w:szCs w:val="18"/>
        </w:rPr>
        <w:t xml:space="preserve">Fuentes S, Caron M, Xiao D, </w:t>
      </w:r>
      <w:proofErr w:type="spellStart"/>
      <w:r w:rsidRPr="00543842">
        <w:rPr>
          <w:rFonts w:ascii="Calibri" w:eastAsia="Calibri" w:hAnsi="Calibri" w:cs="Segoe UI"/>
          <w:sz w:val="16"/>
          <w:szCs w:val="18"/>
        </w:rPr>
        <w:t>Collmann</w:t>
      </w:r>
      <w:proofErr w:type="spellEnd"/>
      <w:r w:rsidRPr="00543842">
        <w:rPr>
          <w:rFonts w:ascii="Calibri" w:eastAsia="Calibri" w:hAnsi="Calibri" w:cs="Segoe UI"/>
          <w:sz w:val="16"/>
          <w:szCs w:val="18"/>
        </w:rPr>
        <w:t xml:space="preserve"> R, Howell KS (2017) Development of a robotic and computer vision method to assess foam quality in sparkling wines. </w:t>
      </w:r>
      <w:r w:rsidRPr="00543842">
        <w:rPr>
          <w:rFonts w:ascii="Calibri" w:eastAsia="Calibri" w:hAnsi="Calibri" w:cs="Segoe UI"/>
          <w:iCs/>
          <w:sz w:val="16"/>
          <w:szCs w:val="18"/>
        </w:rPr>
        <w:t>Food Control</w:t>
      </w:r>
      <w:r w:rsidRPr="00543842">
        <w:rPr>
          <w:rFonts w:ascii="Calibri" w:eastAsia="Calibri" w:hAnsi="Calibri" w:cs="Segoe UI"/>
          <w:sz w:val="16"/>
          <w:szCs w:val="18"/>
        </w:rPr>
        <w:t xml:space="preserve"> </w:t>
      </w:r>
      <w:r w:rsidRPr="00543842">
        <w:rPr>
          <w:rFonts w:ascii="Calibri" w:eastAsia="Calibri" w:hAnsi="Calibri" w:cs="Segoe UI"/>
          <w:iCs/>
          <w:sz w:val="16"/>
          <w:szCs w:val="18"/>
        </w:rPr>
        <w:t>71:</w:t>
      </w:r>
      <w:r w:rsidRPr="00543842">
        <w:rPr>
          <w:rFonts w:ascii="Calibri" w:eastAsia="Calibri" w:hAnsi="Calibri" w:cs="Segoe UI"/>
          <w:sz w:val="16"/>
          <w:szCs w:val="18"/>
        </w:rPr>
        <w:t>383-392.</w:t>
      </w:r>
      <w:r w:rsidRPr="00543842">
        <w:rPr>
          <w:rFonts w:ascii="Calibri" w:eastAsia="Calibri" w:hAnsi="Calibri" w:cs="Calibri"/>
          <w:sz w:val="16"/>
          <w:lang w:val="en-US"/>
        </w:rPr>
        <w:t xml:space="preserve"> </w:t>
      </w:r>
    </w:p>
    <w:p w:rsidR="00543842" w:rsidRPr="00543842" w:rsidRDefault="00543842" w:rsidP="00543842">
      <w:pPr>
        <w:widowControl w:val="0"/>
        <w:numPr>
          <w:ilvl w:val="0"/>
          <w:numId w:val="1"/>
        </w:numPr>
        <w:tabs>
          <w:tab w:val="left" w:pos="384"/>
        </w:tabs>
        <w:spacing w:before="90" w:after="0" w:line="216" w:lineRule="exact"/>
        <w:ind w:right="138" w:hanging="283"/>
        <w:jc w:val="both"/>
        <w:rPr>
          <w:rFonts w:ascii="Calibri" w:eastAsia="Calibri" w:hAnsi="Calibri" w:cs="Segoe UI"/>
          <w:sz w:val="16"/>
          <w:szCs w:val="18"/>
        </w:rPr>
      </w:pPr>
      <w:r w:rsidRPr="00543842">
        <w:rPr>
          <w:rFonts w:ascii="Calibri" w:eastAsia="Calibri" w:hAnsi="Calibri" w:cs="Segoe UI"/>
          <w:sz w:val="16"/>
          <w:szCs w:val="18"/>
        </w:rPr>
        <w:t xml:space="preserve">Viejo CG, Fuentes S, </w:t>
      </w:r>
      <w:proofErr w:type="spellStart"/>
      <w:r w:rsidRPr="00543842">
        <w:rPr>
          <w:rFonts w:ascii="Calibri" w:eastAsia="Calibri" w:hAnsi="Calibri" w:cs="Segoe UI"/>
          <w:sz w:val="16"/>
          <w:szCs w:val="18"/>
        </w:rPr>
        <w:t>GuangJun</w:t>
      </w:r>
      <w:proofErr w:type="spellEnd"/>
      <w:r w:rsidRPr="00543842">
        <w:rPr>
          <w:rFonts w:ascii="Calibri" w:eastAsia="Calibri" w:hAnsi="Calibri" w:cs="Segoe UI"/>
          <w:sz w:val="16"/>
          <w:szCs w:val="18"/>
        </w:rPr>
        <w:t xml:space="preserve"> L, </w:t>
      </w:r>
      <w:proofErr w:type="spellStart"/>
      <w:r w:rsidRPr="00543842">
        <w:rPr>
          <w:rFonts w:ascii="Calibri" w:eastAsia="Calibri" w:hAnsi="Calibri" w:cs="Segoe UI"/>
          <w:sz w:val="16"/>
          <w:szCs w:val="18"/>
        </w:rPr>
        <w:t>Collmann</w:t>
      </w:r>
      <w:proofErr w:type="spellEnd"/>
      <w:r w:rsidRPr="00543842">
        <w:rPr>
          <w:rFonts w:ascii="Calibri" w:eastAsia="Calibri" w:hAnsi="Calibri" w:cs="Segoe UI"/>
          <w:sz w:val="16"/>
          <w:szCs w:val="18"/>
        </w:rPr>
        <w:t xml:space="preserve"> R, </w:t>
      </w:r>
      <w:r w:rsidRPr="00543842">
        <w:rPr>
          <w:rFonts w:ascii="Calibri" w:eastAsia="Calibri" w:hAnsi="Calibri" w:cs="Segoe UI"/>
          <w:sz w:val="16"/>
          <w:szCs w:val="18"/>
          <w:u w:val="single"/>
        </w:rPr>
        <w:t>Conde B</w:t>
      </w:r>
      <w:r w:rsidRPr="00543842">
        <w:rPr>
          <w:rFonts w:ascii="Calibri" w:eastAsia="Calibri" w:hAnsi="Calibri" w:cs="Segoe UI"/>
          <w:sz w:val="16"/>
          <w:szCs w:val="18"/>
        </w:rPr>
        <w:t xml:space="preserve">, </w:t>
      </w:r>
      <w:proofErr w:type="spellStart"/>
      <w:r w:rsidRPr="00543842">
        <w:rPr>
          <w:rFonts w:ascii="Calibri" w:eastAsia="Calibri" w:hAnsi="Calibri" w:cs="Segoe UI"/>
          <w:sz w:val="16"/>
          <w:szCs w:val="18"/>
        </w:rPr>
        <w:t>Torrico</w:t>
      </w:r>
      <w:proofErr w:type="spellEnd"/>
      <w:r w:rsidRPr="00543842">
        <w:rPr>
          <w:rFonts w:ascii="Calibri" w:eastAsia="Calibri" w:hAnsi="Calibri" w:cs="Segoe UI"/>
          <w:sz w:val="16"/>
          <w:szCs w:val="18"/>
        </w:rPr>
        <w:t xml:space="preserve">, D (2016) Development of a robotic pourer constructed with ubiquitous materials, open hardware and sensors to assess beer foam quality using computer vision and pattern recognition algorithms: </w:t>
      </w:r>
      <w:proofErr w:type="spellStart"/>
      <w:r w:rsidRPr="00543842">
        <w:rPr>
          <w:rFonts w:ascii="Calibri" w:eastAsia="Calibri" w:hAnsi="Calibri" w:cs="Segoe UI"/>
          <w:sz w:val="16"/>
          <w:szCs w:val="18"/>
        </w:rPr>
        <w:t>Robobeer</w:t>
      </w:r>
      <w:proofErr w:type="spellEnd"/>
      <w:r w:rsidRPr="00543842">
        <w:rPr>
          <w:rFonts w:ascii="Calibri" w:eastAsia="Calibri" w:hAnsi="Calibri" w:cs="Segoe UI"/>
          <w:sz w:val="16"/>
          <w:szCs w:val="18"/>
        </w:rPr>
        <w:t>. Food Research International 89:504-513.</w:t>
      </w:r>
    </w:p>
    <w:p w:rsidR="00543842" w:rsidRPr="00543842" w:rsidRDefault="00543842" w:rsidP="00543842">
      <w:pPr>
        <w:widowControl w:val="0"/>
        <w:numPr>
          <w:ilvl w:val="0"/>
          <w:numId w:val="1"/>
        </w:numPr>
        <w:tabs>
          <w:tab w:val="left" w:pos="384"/>
        </w:tabs>
        <w:spacing w:before="90" w:after="0" w:line="216" w:lineRule="exact"/>
        <w:ind w:right="138" w:hanging="283"/>
        <w:jc w:val="both"/>
        <w:rPr>
          <w:rFonts w:ascii="Calibri" w:eastAsia="Calibri" w:hAnsi="Calibri" w:cs="Segoe UI"/>
          <w:sz w:val="16"/>
          <w:szCs w:val="18"/>
        </w:rPr>
      </w:pPr>
      <w:r w:rsidRPr="00543842">
        <w:rPr>
          <w:rFonts w:ascii="Calibri" w:eastAsia="Calibri" w:hAnsi="Calibri" w:cs="Segoe UI"/>
          <w:sz w:val="16"/>
          <w:szCs w:val="18"/>
          <w:u w:val="single"/>
        </w:rPr>
        <w:t>Lima B</w:t>
      </w:r>
      <w:r w:rsidRPr="00543842">
        <w:rPr>
          <w:rFonts w:ascii="Calibri" w:eastAsia="Calibri" w:hAnsi="Calibri" w:cs="Segoe UI"/>
          <w:sz w:val="16"/>
          <w:szCs w:val="18"/>
        </w:rPr>
        <w:t xml:space="preserve">, Fuentes S, Caron M, Needs S, Howell K (2016) The use of a portable robotic sparkling wine pourer and image analysis to assess wine quality in a fast and accurate manner. </w:t>
      </w:r>
      <w:proofErr w:type="spellStart"/>
      <w:r w:rsidRPr="00543842">
        <w:rPr>
          <w:rFonts w:ascii="Calibri" w:eastAsia="Calibri" w:hAnsi="Calibri" w:cs="Segoe UI"/>
          <w:sz w:val="16"/>
          <w:szCs w:val="18"/>
        </w:rPr>
        <w:t>Acta</w:t>
      </w:r>
      <w:proofErr w:type="spellEnd"/>
      <w:r w:rsidRPr="00543842">
        <w:rPr>
          <w:rFonts w:ascii="Calibri" w:eastAsia="Calibri" w:hAnsi="Calibri" w:cs="Segoe UI"/>
          <w:sz w:val="16"/>
          <w:szCs w:val="18"/>
        </w:rPr>
        <w:t xml:space="preserve"> </w:t>
      </w:r>
      <w:proofErr w:type="spellStart"/>
      <w:r w:rsidRPr="00543842">
        <w:rPr>
          <w:rFonts w:ascii="Calibri" w:eastAsia="Calibri" w:hAnsi="Calibri" w:cs="Segoe UI"/>
          <w:sz w:val="16"/>
          <w:szCs w:val="18"/>
        </w:rPr>
        <w:t>Hortic</w:t>
      </w:r>
      <w:proofErr w:type="spellEnd"/>
      <w:r w:rsidRPr="00543842">
        <w:rPr>
          <w:rFonts w:ascii="Calibri" w:eastAsia="Calibri" w:hAnsi="Calibri" w:cs="Segoe UI"/>
          <w:sz w:val="16"/>
          <w:szCs w:val="18"/>
        </w:rPr>
        <w:t>. 1115: 69-74.</w:t>
      </w:r>
    </w:p>
    <w:p w:rsidR="00543842" w:rsidRPr="00543842" w:rsidRDefault="00543842" w:rsidP="00543842">
      <w:pPr>
        <w:widowControl w:val="0"/>
        <w:numPr>
          <w:ilvl w:val="0"/>
          <w:numId w:val="1"/>
        </w:numPr>
        <w:tabs>
          <w:tab w:val="left" w:pos="384"/>
        </w:tabs>
        <w:spacing w:before="90" w:after="0" w:line="216" w:lineRule="exact"/>
        <w:ind w:right="138"/>
        <w:jc w:val="both"/>
        <w:rPr>
          <w:rFonts w:ascii="Calibri" w:eastAsia="Calibri" w:hAnsi="Calibri" w:cs="Segoe UI"/>
          <w:sz w:val="16"/>
          <w:szCs w:val="18"/>
        </w:rPr>
      </w:pPr>
      <w:r w:rsidRPr="00543842">
        <w:rPr>
          <w:rFonts w:ascii="Calibri" w:eastAsia="Calibri" w:hAnsi="Calibri" w:cs="Segoe UI"/>
          <w:sz w:val="16"/>
          <w:szCs w:val="18"/>
          <w:u w:val="single"/>
        </w:rPr>
        <w:t>Conde BC</w:t>
      </w:r>
      <w:r w:rsidRPr="00543842">
        <w:rPr>
          <w:rFonts w:ascii="Calibri" w:eastAsia="Calibri" w:hAnsi="Calibri" w:cs="Segoe UI"/>
          <w:sz w:val="16"/>
          <w:szCs w:val="18"/>
        </w:rPr>
        <w:t xml:space="preserve">, </w:t>
      </w:r>
      <w:proofErr w:type="spellStart"/>
      <w:r w:rsidRPr="00543842">
        <w:rPr>
          <w:rFonts w:ascii="Calibri" w:eastAsia="Calibri" w:hAnsi="Calibri" w:cs="Segoe UI"/>
          <w:sz w:val="16"/>
          <w:szCs w:val="18"/>
        </w:rPr>
        <w:t>Peixoto</w:t>
      </w:r>
      <w:proofErr w:type="spellEnd"/>
      <w:r w:rsidRPr="00543842">
        <w:rPr>
          <w:rFonts w:ascii="Calibri" w:eastAsia="Calibri" w:hAnsi="Calibri" w:cs="Segoe UI"/>
          <w:sz w:val="16"/>
          <w:szCs w:val="18"/>
        </w:rPr>
        <w:t xml:space="preserve"> AB, Howell K, Xiao D, Fuentes S (2015) Assessment by image analysis of </w:t>
      </w:r>
      <w:proofErr w:type="spellStart"/>
      <w:r w:rsidRPr="00543842">
        <w:rPr>
          <w:rFonts w:ascii="Calibri" w:eastAsia="Calibri" w:hAnsi="Calibri" w:cs="Segoe UI"/>
          <w:sz w:val="16"/>
          <w:szCs w:val="18"/>
        </w:rPr>
        <w:t>foamability</w:t>
      </w:r>
      <w:proofErr w:type="spellEnd"/>
      <w:r w:rsidRPr="00543842">
        <w:rPr>
          <w:rFonts w:ascii="Calibri" w:eastAsia="Calibri" w:hAnsi="Calibri" w:cs="Segoe UI"/>
          <w:sz w:val="16"/>
          <w:szCs w:val="18"/>
        </w:rPr>
        <w:t xml:space="preserve"> and effervescence of sparkling wines during the prise de mousse and ageing process. Rev. Bras. </w:t>
      </w:r>
      <w:proofErr w:type="spellStart"/>
      <w:r w:rsidRPr="00543842">
        <w:rPr>
          <w:rFonts w:ascii="Calibri" w:eastAsia="Calibri" w:hAnsi="Calibri" w:cs="Segoe UI"/>
          <w:sz w:val="16"/>
          <w:szCs w:val="18"/>
        </w:rPr>
        <w:t>Vitic</w:t>
      </w:r>
      <w:proofErr w:type="spellEnd"/>
      <w:r w:rsidRPr="00543842">
        <w:rPr>
          <w:rFonts w:ascii="Calibri" w:eastAsia="Calibri" w:hAnsi="Calibri" w:cs="Segoe UI"/>
          <w:sz w:val="16"/>
          <w:szCs w:val="18"/>
        </w:rPr>
        <w:t>. Enol. 7:92-98.</w:t>
      </w:r>
    </w:p>
    <w:p w:rsidR="00543842" w:rsidRPr="00543842" w:rsidRDefault="00543842" w:rsidP="00543842">
      <w:pPr>
        <w:widowControl w:val="0"/>
        <w:spacing w:after="0" w:line="200" w:lineRule="exact"/>
        <w:jc w:val="both"/>
        <w:rPr>
          <w:rFonts w:ascii="Calibri" w:eastAsia="Tw Cen MT" w:hAnsi="Calibri" w:cs="Tw Cen MT"/>
          <w:lang w:val="en-US"/>
        </w:rPr>
        <w:sectPr w:rsidR="00543842" w:rsidRPr="00543842">
          <w:type w:val="continuous"/>
          <w:pgSz w:w="11910" w:h="16840"/>
          <w:pgMar w:top="1740" w:right="600" w:bottom="840" w:left="620" w:header="720" w:footer="720" w:gutter="0"/>
          <w:cols w:num="2" w:space="720" w:equalWidth="0">
            <w:col w:w="5214" w:space="138"/>
            <w:col w:w="5338"/>
          </w:cols>
        </w:sectPr>
      </w:pPr>
      <w:r w:rsidRPr="00543842">
        <w:rPr>
          <w:rFonts w:ascii="Calibri" w:eastAsia="Tw Cen MT" w:hAnsi="Calibri" w:cs="Tw Cen MT"/>
          <w:lang w:val="en-US"/>
        </w:rPr>
        <w:t xml:space="preserve"> </w:t>
      </w:r>
    </w:p>
    <w:p w:rsidR="00543842" w:rsidRPr="00543842" w:rsidRDefault="00543842" w:rsidP="00543842">
      <w:pPr>
        <w:widowControl w:val="0"/>
        <w:spacing w:after="0" w:line="40" w:lineRule="exact"/>
        <w:ind w:left="2202"/>
        <w:rPr>
          <w:rFonts w:ascii="Calibri" w:eastAsia="Tw Cen MT" w:hAnsi="Tw Cen MT" w:cs="Tw Cen MT"/>
          <w:sz w:val="4"/>
          <w:szCs w:val="18"/>
          <w:lang w:val="en-US"/>
        </w:rPr>
      </w:pPr>
      <w:r w:rsidRPr="00543842">
        <w:rPr>
          <w:rFonts w:ascii="Calibri" w:eastAsia="Tw Cen MT" w:hAnsi="Tw Cen MT" w:cs="Tw Cen MT"/>
          <w:noProof/>
          <w:sz w:val="4"/>
          <w:szCs w:val="18"/>
          <w:lang w:eastAsia="en-AU"/>
        </w:rPr>
        <w:lastRenderedPageBreak/>
        <mc:AlternateContent>
          <mc:Choice Requires="wpg">
            <w:drawing>
              <wp:inline distT="0" distB="0" distL="0" distR="0" wp14:anchorId="76E4C45F" wp14:editId="414E589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43842" w:rsidRPr="00543842" w:rsidRDefault="00543842" w:rsidP="00543842">
      <w:pPr>
        <w:widowControl w:val="0"/>
        <w:spacing w:after="0" w:line="240" w:lineRule="auto"/>
        <w:ind w:right="4235"/>
        <w:rPr>
          <w:rFonts w:ascii="Arial" w:eastAsia="Tw Cen MT" w:hAnsi="Tw Cen MT" w:cs="Tw Cen MT"/>
          <w:lang w:val="en-US"/>
        </w:rPr>
      </w:pPr>
      <w:r w:rsidRPr="00543842">
        <w:rPr>
          <w:rFonts w:ascii="Tw Cen MT" w:eastAsia="Tw Cen MT" w:hAnsi="Tw Cen MT" w:cs="Tw Cen MT"/>
          <w:noProof/>
          <w:lang w:val="en-US"/>
        </w:rPr>
        <w:t xml:space="preserve">    </w:t>
      </w:r>
      <w:r w:rsidRPr="00543842">
        <w:rPr>
          <w:rFonts w:ascii="Tw Cen MT" w:eastAsia="Tw Cen MT" w:hAnsi="Tw Cen MT" w:cs="Tw Cen MT"/>
          <w:noProof/>
          <w:lang w:eastAsia="en-AU"/>
        </w:rPr>
        <w:drawing>
          <wp:anchor distT="0" distB="0" distL="114300" distR="114300" simplePos="0" relativeHeight="251659264" behindDoc="1" locked="0" layoutInCell="1" allowOverlap="1" wp14:anchorId="12F696B0" wp14:editId="18FF8B46">
            <wp:simplePos x="0" y="0"/>
            <wp:positionH relativeFrom="column">
              <wp:posOffset>158750</wp:posOffset>
            </wp:positionH>
            <wp:positionV relativeFrom="paragraph">
              <wp:posOffset>-635</wp:posOffset>
            </wp:positionV>
            <wp:extent cx="628015" cy="622935"/>
            <wp:effectExtent l="0" t="0" r="635" b="5715"/>
            <wp:wrapThrough wrapText="bothSides">
              <wp:wrapPolygon edited="0">
                <wp:start x="0" y="0"/>
                <wp:lineTo x="0" y="21138"/>
                <wp:lineTo x="20967" y="21138"/>
                <wp:lineTo x="20967" y="0"/>
                <wp:lineTo x="0" y="0"/>
              </wp:wrapPolygon>
            </wp:wrapThrough>
            <wp:docPr id="13" name="Picture 1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8015" cy="622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3842">
        <w:rPr>
          <w:rFonts w:ascii="Tw Cen MT" w:eastAsia="Tw Cen MT" w:hAnsi="Tw Cen MT" w:cs="Tw Cen MT"/>
          <w:noProof/>
          <w:lang w:val="en-US"/>
        </w:rPr>
        <w:t xml:space="preserve">  </w:t>
      </w:r>
      <w:r w:rsidRPr="00543842">
        <w:rPr>
          <w:rFonts w:ascii="Arial" w:eastAsia="Tw Cen MT" w:hAnsi="Tw Cen MT" w:cs="Tw Cen MT"/>
          <w:color w:val="BF5A14"/>
          <w:lang w:val="en-US"/>
        </w:rPr>
        <w:t>Biography (150 word limit)</w:t>
      </w:r>
    </w:p>
    <w:p w:rsidR="00543842" w:rsidRDefault="00543842" w:rsidP="00543842">
      <w:pPr>
        <w:widowControl w:val="0"/>
        <w:spacing w:before="41" w:after="0" w:line="154" w:lineRule="exact"/>
        <w:ind w:left="213" w:right="231"/>
        <w:jc w:val="both"/>
        <w:rPr>
          <w:rFonts w:ascii="Arial" w:eastAsia="Tw Cen MT" w:hAnsi="Tw Cen MT" w:cs="Tw Cen MT"/>
          <w:sz w:val="14"/>
          <w:lang w:val="en-US"/>
        </w:rPr>
      </w:pPr>
      <w:proofErr w:type="spellStart"/>
      <w:r w:rsidRPr="00543842">
        <w:rPr>
          <w:rFonts w:ascii="Arial" w:eastAsia="Tw Cen MT" w:hAnsi="Tw Cen MT" w:cs="Tw Cen MT"/>
          <w:sz w:val="14"/>
          <w:lang w:val="en-US"/>
        </w:rPr>
        <w:t>Bruna</w:t>
      </w:r>
      <w:proofErr w:type="spellEnd"/>
      <w:r w:rsidRPr="00543842">
        <w:rPr>
          <w:rFonts w:ascii="Arial" w:eastAsia="Tw Cen MT" w:hAnsi="Tw Cen MT" w:cs="Tw Cen MT"/>
          <w:sz w:val="14"/>
          <w:lang w:val="en-US"/>
        </w:rPr>
        <w:t xml:space="preserve"> C. </w:t>
      </w:r>
      <w:proofErr w:type="spellStart"/>
      <w:r w:rsidRPr="00543842">
        <w:rPr>
          <w:rFonts w:ascii="Arial" w:eastAsia="Tw Cen MT" w:hAnsi="Tw Cen MT" w:cs="Tw Cen MT"/>
          <w:sz w:val="14"/>
          <w:lang w:val="en-US"/>
        </w:rPr>
        <w:t>Conde</w:t>
      </w:r>
      <w:proofErr w:type="spellEnd"/>
      <w:r w:rsidRPr="00543842">
        <w:rPr>
          <w:rFonts w:ascii="Arial" w:eastAsia="Tw Cen MT" w:hAnsi="Tw Cen MT" w:cs="Tw Cen MT"/>
          <w:sz w:val="14"/>
          <w:lang w:val="en-US"/>
        </w:rPr>
        <w:t xml:space="preserve"> Lima has her expertise in quality assessment of beverages. </w:t>
      </w:r>
      <w:proofErr w:type="spellStart"/>
      <w:r w:rsidRPr="00543842">
        <w:rPr>
          <w:rFonts w:ascii="Arial" w:eastAsia="Tw Cen MT" w:hAnsi="Tw Cen MT" w:cs="Tw Cen MT"/>
          <w:sz w:val="14"/>
          <w:lang w:val="en-US"/>
        </w:rPr>
        <w:t>Bruna</w:t>
      </w:r>
      <w:proofErr w:type="spellEnd"/>
      <w:r w:rsidRPr="00543842">
        <w:rPr>
          <w:rFonts w:ascii="Arial" w:eastAsia="Tw Cen MT" w:hAnsi="Tw Cen MT" w:cs="Tw Cen MT"/>
          <w:sz w:val="14"/>
          <w:lang w:val="en-US"/>
        </w:rPr>
        <w:t xml:space="preserve"> has worked for the food and beverage industry since 2005. She is current a PhD candidate in Wine Science at The University of Melbourne while working part-time as Quality Control and Laboratory </w:t>
      </w:r>
      <w:proofErr w:type="spellStart"/>
      <w:r w:rsidRPr="00543842">
        <w:rPr>
          <w:rFonts w:ascii="Arial" w:eastAsia="Tw Cen MT" w:hAnsi="Tw Cen MT" w:cs="Tw Cen MT"/>
          <w:sz w:val="14"/>
          <w:lang w:val="en-US"/>
        </w:rPr>
        <w:t>Superviser</w:t>
      </w:r>
      <w:proofErr w:type="spellEnd"/>
      <w:r w:rsidRPr="00543842">
        <w:rPr>
          <w:rFonts w:ascii="Arial" w:eastAsia="Tw Cen MT" w:hAnsi="Tw Cen MT" w:cs="Tw Cen MT"/>
          <w:sz w:val="14"/>
          <w:lang w:val="en-US"/>
        </w:rPr>
        <w:t xml:space="preserve"> in a liquor company specialized in manufacturing and bottling beverages (</w:t>
      </w:r>
      <w:proofErr w:type="spellStart"/>
      <w:r w:rsidRPr="00543842">
        <w:rPr>
          <w:rFonts w:ascii="Arial" w:eastAsia="Tw Cen MT" w:hAnsi="Tw Cen MT" w:cs="Tw Cen MT"/>
          <w:sz w:val="14"/>
          <w:lang w:val="en-US"/>
        </w:rPr>
        <w:t>Alepat</w:t>
      </w:r>
      <w:proofErr w:type="spellEnd"/>
      <w:r w:rsidRPr="00543842">
        <w:rPr>
          <w:rFonts w:ascii="Arial" w:eastAsia="Tw Cen MT" w:hAnsi="Tw Cen MT" w:cs="Tw Cen MT"/>
          <w:sz w:val="14"/>
          <w:lang w:val="en-US"/>
        </w:rPr>
        <w:t xml:space="preserve"> &amp; Taylor). Recent research focus has been given to study objective measures of sparkling wine quality. Her research is focused on uncovering foaming parameters related to quality and chemical compounds which influence those foam parameters. </w:t>
      </w:r>
      <w:proofErr w:type="spellStart"/>
      <w:r w:rsidRPr="00543842">
        <w:rPr>
          <w:rFonts w:ascii="Arial" w:eastAsia="Tw Cen MT" w:hAnsi="Tw Cen MT" w:cs="Tw Cen MT"/>
          <w:sz w:val="14"/>
          <w:lang w:val="en-US"/>
        </w:rPr>
        <w:t>Bruna</w:t>
      </w:r>
      <w:proofErr w:type="spellEnd"/>
      <w:r w:rsidRPr="00543842">
        <w:rPr>
          <w:rFonts w:ascii="Arial" w:eastAsia="Tw Cen MT" w:hAnsi="Tw Cen MT" w:cs="Tw Cen MT"/>
          <w:sz w:val="14"/>
          <w:lang w:val="en-US"/>
        </w:rPr>
        <w:t xml:space="preserve"> and colleagues have developed a method to assess foam characteristics in sparkling wines, which was further adapted for foam characterization in beers. Previous studies have revealed the effect of protein on foam stability of sparkling wines. Thus, the lack of a tailored method for protein quantification in sparkling wines was the origin of this study.                      </w:t>
      </w:r>
    </w:p>
    <w:p w:rsidR="00543842" w:rsidRDefault="00543842" w:rsidP="00543842">
      <w:pPr>
        <w:widowControl w:val="0"/>
        <w:spacing w:before="41" w:after="0" w:line="154" w:lineRule="exact"/>
        <w:ind w:left="213" w:right="231"/>
        <w:jc w:val="center"/>
        <w:rPr>
          <w:rFonts w:ascii="Arial" w:eastAsia="Tw Cen MT" w:hAnsi="Tw Cen MT" w:cs="Tw Cen MT"/>
          <w:sz w:val="14"/>
          <w:lang w:val="en-US"/>
        </w:rPr>
        <w:sectPr w:rsidR="00543842" w:rsidSect="00573CE1">
          <w:type w:val="continuous"/>
          <w:pgSz w:w="11910" w:h="16840"/>
          <w:pgMar w:top="1740" w:right="600" w:bottom="840" w:left="620" w:header="720" w:footer="720" w:gutter="0"/>
          <w:cols w:space="720"/>
        </w:sectPr>
      </w:pPr>
      <w:r w:rsidRPr="00543842">
        <w:rPr>
          <w:rFonts w:ascii="Arial" w:eastAsia="Tw Cen MT" w:hAnsi="Tw Cen MT" w:cs="Tw Cen MT"/>
          <w:sz w:val="14"/>
          <w:lang w:val="en-US"/>
        </w:rPr>
        <w:t xml:space="preserve">Email: </w:t>
      </w:r>
      <w:hyperlink r:id="rId14" w:history="1">
        <w:r w:rsidRPr="00543842">
          <w:rPr>
            <w:rFonts w:ascii="Arial" w:eastAsia="Tw Cen MT" w:hAnsi="Tw Cen MT" w:cs="Tw Cen MT"/>
            <w:color w:val="0000FF"/>
            <w:sz w:val="14"/>
            <w:u w:val="single"/>
            <w:lang w:val="en-US"/>
          </w:rPr>
          <w:t>bruna.conde@unimelb.edu.au</w:t>
        </w:r>
      </w:hyperlink>
    </w:p>
    <w:p w:rsidR="003C69A9" w:rsidRDefault="00C51BE3" w:rsidP="00543842"/>
    <w:sectPr w:rsidR="003C69A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1BE3" w:rsidRDefault="00C51BE3" w:rsidP="00543842">
      <w:pPr>
        <w:spacing w:after="0" w:line="240" w:lineRule="auto"/>
      </w:pPr>
      <w:r>
        <w:separator/>
      </w:r>
    </w:p>
  </w:endnote>
  <w:endnote w:type="continuationSeparator" w:id="0">
    <w:p w:rsidR="00C51BE3" w:rsidRDefault="00C51BE3" w:rsidP="00543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842" w:rsidRDefault="00543842">
    <w:pPr>
      <w:pStyle w:val="BodyText"/>
      <w:spacing w:line="14" w:lineRule="auto"/>
      <w:rPr>
        <w:sz w:val="20"/>
      </w:rPr>
    </w:pPr>
    <w:r>
      <w:rPr>
        <w:noProof/>
        <w:lang w:eastAsia="en-AU"/>
      </w:rPr>
      <mc:AlternateContent>
        <mc:Choice Requires="wps">
          <w:drawing>
            <wp:anchor distT="0" distB="0" distL="114300" distR="114300" simplePos="0" relativeHeight="251661312" behindDoc="1" locked="0" layoutInCell="1" allowOverlap="1" wp14:anchorId="723E1903" wp14:editId="5352813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3842" w:rsidRPr="005B3A56" w:rsidRDefault="0054384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543842" w:rsidRPr="005B3A56" w:rsidRDefault="0054384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543842" w:rsidRPr="005B3A56" w:rsidRDefault="0054384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543842" w:rsidRPr="005B3A56" w:rsidRDefault="0054384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en-AU"/>
      </w:rPr>
      <mc:AlternateContent>
        <mc:Choice Requires="wps">
          <w:drawing>
            <wp:anchor distT="0" distB="0" distL="114300" distR="114300" simplePos="0" relativeHeight="251662336" behindDoc="1" locked="0" layoutInCell="1" allowOverlap="1" wp14:anchorId="1F354327" wp14:editId="595DECE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3842" w:rsidRPr="005B3A56" w:rsidRDefault="0054384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543842" w:rsidRPr="005B3A56" w:rsidRDefault="0054384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543842" w:rsidRPr="005B3A56" w:rsidRDefault="0054384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543842" w:rsidRPr="005B3A56" w:rsidRDefault="0054384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1BE3" w:rsidRDefault="00C51BE3" w:rsidP="00543842">
      <w:pPr>
        <w:spacing w:after="0" w:line="240" w:lineRule="auto"/>
      </w:pPr>
      <w:r>
        <w:separator/>
      </w:r>
    </w:p>
  </w:footnote>
  <w:footnote w:type="continuationSeparator" w:id="0">
    <w:p w:rsidR="00C51BE3" w:rsidRDefault="00C51BE3" w:rsidP="005438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3842" w:rsidRDefault="00543842">
    <w:pPr>
      <w:pStyle w:val="BodyText"/>
      <w:spacing w:line="14" w:lineRule="auto"/>
      <w:rPr>
        <w:sz w:val="20"/>
      </w:rPr>
    </w:pPr>
    <w:r>
      <w:rPr>
        <w:noProof/>
        <w:lang w:eastAsia="en-AU"/>
      </w:rPr>
      <mc:AlternateContent>
        <mc:Choice Requires="wps">
          <w:drawing>
            <wp:anchor distT="0" distB="0" distL="114300" distR="114300" simplePos="0" relativeHeight="251660288" behindDoc="1" locked="0" layoutInCell="1" allowOverlap="1" wp14:anchorId="33DA89A8" wp14:editId="61DFBF6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3842" w:rsidRPr="005B3A56" w:rsidRDefault="0054384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543842" w:rsidRPr="005B3A56" w:rsidRDefault="0054384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543842" w:rsidRPr="005B3A56" w:rsidRDefault="0054384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543842" w:rsidRPr="005B3A56" w:rsidRDefault="0054384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842"/>
    <w:rsid w:val="00392D5A"/>
    <w:rsid w:val="00543842"/>
    <w:rsid w:val="008D59C3"/>
    <w:rsid w:val="00C11FC2"/>
    <w:rsid w:val="00C51B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543842"/>
    <w:pPr>
      <w:spacing w:after="120"/>
    </w:pPr>
  </w:style>
  <w:style w:type="character" w:customStyle="1" w:styleId="BodyTextChar">
    <w:name w:val="Body Text Char"/>
    <w:basedOn w:val="DefaultParagraphFont"/>
    <w:link w:val="BodyText"/>
    <w:uiPriority w:val="99"/>
    <w:semiHidden/>
    <w:rsid w:val="00543842"/>
  </w:style>
  <w:style w:type="paragraph" w:styleId="BalloonText">
    <w:name w:val="Balloon Text"/>
    <w:basedOn w:val="Normal"/>
    <w:link w:val="BalloonTextChar"/>
    <w:uiPriority w:val="99"/>
    <w:semiHidden/>
    <w:unhideWhenUsed/>
    <w:rsid w:val="00543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3842"/>
    <w:rPr>
      <w:rFonts w:ascii="Tahoma" w:hAnsi="Tahoma" w:cs="Tahoma"/>
      <w:sz w:val="16"/>
      <w:szCs w:val="16"/>
    </w:rPr>
  </w:style>
  <w:style w:type="paragraph" w:styleId="Header">
    <w:name w:val="header"/>
    <w:basedOn w:val="Normal"/>
    <w:link w:val="HeaderChar"/>
    <w:uiPriority w:val="99"/>
    <w:unhideWhenUsed/>
    <w:rsid w:val="00543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3842"/>
  </w:style>
  <w:style w:type="paragraph" w:styleId="Footer">
    <w:name w:val="footer"/>
    <w:basedOn w:val="Normal"/>
    <w:link w:val="FooterChar"/>
    <w:uiPriority w:val="99"/>
    <w:unhideWhenUsed/>
    <w:rsid w:val="00543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38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543842"/>
    <w:pPr>
      <w:spacing w:after="120"/>
    </w:pPr>
  </w:style>
  <w:style w:type="character" w:customStyle="1" w:styleId="BodyTextChar">
    <w:name w:val="Body Text Char"/>
    <w:basedOn w:val="DefaultParagraphFont"/>
    <w:link w:val="BodyText"/>
    <w:uiPriority w:val="99"/>
    <w:semiHidden/>
    <w:rsid w:val="00543842"/>
  </w:style>
  <w:style w:type="paragraph" w:styleId="BalloonText">
    <w:name w:val="Balloon Text"/>
    <w:basedOn w:val="Normal"/>
    <w:link w:val="BalloonTextChar"/>
    <w:uiPriority w:val="99"/>
    <w:semiHidden/>
    <w:unhideWhenUsed/>
    <w:rsid w:val="00543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3842"/>
    <w:rPr>
      <w:rFonts w:ascii="Tahoma" w:hAnsi="Tahoma" w:cs="Tahoma"/>
      <w:sz w:val="16"/>
      <w:szCs w:val="16"/>
    </w:rPr>
  </w:style>
  <w:style w:type="paragraph" w:styleId="Header">
    <w:name w:val="header"/>
    <w:basedOn w:val="Normal"/>
    <w:link w:val="HeaderChar"/>
    <w:uiPriority w:val="99"/>
    <w:unhideWhenUsed/>
    <w:rsid w:val="00543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3842"/>
  </w:style>
  <w:style w:type="paragraph" w:styleId="Footer">
    <w:name w:val="footer"/>
    <w:basedOn w:val="Normal"/>
    <w:link w:val="FooterChar"/>
    <w:uiPriority w:val="99"/>
    <w:unhideWhenUsed/>
    <w:rsid w:val="00543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3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tif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bruna.conde@unimelb.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The University of Melbourne</Company>
  <LinksUpToDate>false</LinksUpToDate>
  <CharactersWithSpaces>5311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Conde Lima</dc:creator>
  <cp:lastModifiedBy>Bruna Conde Lima</cp:lastModifiedBy>
  <cp:revision>1</cp:revision>
  <dcterms:created xsi:type="dcterms:W3CDTF">2017-05-24T03:59:00Z</dcterms:created>
  <dcterms:modified xsi:type="dcterms:W3CDTF">2017-05-24T04:05:00Z</dcterms:modified>
</cp:coreProperties>
</file>