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92D" w:rsidRPr="00667CFB" w:rsidRDefault="00F0092D" w:rsidP="00470C9E">
      <w:pPr>
        <w:rPr>
          <w:rFonts w:asciiTheme="minorBidi" w:hAnsiTheme="minorBidi" w:cstheme="minorBidi"/>
          <w:sz w:val="24"/>
          <w:szCs w:val="18"/>
        </w:rPr>
      </w:pPr>
      <w:r w:rsidRPr="00667CFB">
        <w:rPr>
          <w:rFonts w:asciiTheme="minorBidi" w:hAnsiTheme="minorBidi" w:cstheme="minorBidi"/>
        </w:rPr>
        <w:tab/>
      </w:r>
      <w:r w:rsidRPr="00667CFB">
        <w:rPr>
          <w:rFonts w:asciiTheme="minorBidi" w:hAnsiTheme="minorBidi" w:cstheme="minorBidi"/>
          <w:sz w:val="24"/>
          <w:szCs w:val="18"/>
        </w:rPr>
        <w:tab/>
      </w:r>
      <w:r w:rsidRPr="00667CFB">
        <w:rPr>
          <w:rFonts w:asciiTheme="minorBidi" w:hAnsiTheme="minorBidi" w:cstheme="minorBidi"/>
          <w:sz w:val="24"/>
          <w:szCs w:val="18"/>
        </w:rPr>
        <w:tab/>
      </w:r>
      <w:r w:rsidRPr="00667CFB">
        <w:rPr>
          <w:rFonts w:asciiTheme="minorBidi" w:hAnsiTheme="minorBidi" w:cstheme="minorBidi"/>
          <w:sz w:val="24"/>
          <w:szCs w:val="18"/>
        </w:rPr>
        <w:tab/>
      </w:r>
    </w:p>
    <w:p w:rsidR="005A7E53" w:rsidRPr="00667CFB" w:rsidRDefault="005A7E53">
      <w:pPr>
        <w:rPr>
          <w:rFonts w:asciiTheme="minorBidi" w:hAnsiTheme="minorBidi" w:cstheme="minorBidi"/>
          <w:sz w:val="24"/>
          <w:szCs w:val="18"/>
        </w:rPr>
      </w:pPr>
    </w:p>
    <w:p w:rsidR="00F0092D" w:rsidRDefault="00470C9E">
      <w:pPr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/>
          <w:b/>
          <w:sz w:val="36"/>
          <w:szCs w:val="36"/>
        </w:rPr>
        <w:t>Metabolomics Mapping of Dexamethasone Side Effects</w:t>
      </w:r>
    </w:p>
    <w:p w:rsidR="00470C9E" w:rsidRDefault="00470C9E">
      <w:pPr>
        <w:rPr>
          <w:rFonts w:asciiTheme="majorBidi" w:hAnsiTheme="majorBidi" w:cstheme="majorBidi"/>
          <w:b/>
          <w:sz w:val="36"/>
          <w:szCs w:val="36"/>
        </w:rPr>
      </w:pPr>
    </w:p>
    <w:p w:rsidR="00470C9E" w:rsidRDefault="00470C9E">
      <w:pPr>
        <w:rPr>
          <w:rFonts w:asciiTheme="majorBidi" w:hAnsiTheme="majorBidi" w:cstheme="majorBidi"/>
          <w:sz w:val="24"/>
          <w:szCs w:val="24"/>
        </w:rPr>
      </w:pPr>
      <w:r w:rsidRPr="00026BEC">
        <w:rPr>
          <w:rFonts w:asciiTheme="majorBidi" w:hAnsiTheme="majorBidi" w:cstheme="majorBidi"/>
          <w:sz w:val="24"/>
          <w:szCs w:val="24"/>
        </w:rPr>
        <w:t xml:space="preserve">Abeer K. Malkawi, </w:t>
      </w:r>
      <w:r>
        <w:rPr>
          <w:rFonts w:asciiTheme="majorBidi" w:hAnsiTheme="majorBidi" w:cstheme="majorBidi"/>
          <w:sz w:val="24"/>
          <w:szCs w:val="24"/>
        </w:rPr>
        <w:t xml:space="preserve">Minnie Jacob, </w:t>
      </w:r>
      <w:proofErr w:type="spellStart"/>
      <w:r w:rsidRPr="00026BEC">
        <w:rPr>
          <w:rFonts w:asciiTheme="majorBidi" w:hAnsiTheme="majorBidi" w:cstheme="majorBidi"/>
          <w:sz w:val="24"/>
          <w:szCs w:val="24"/>
        </w:rPr>
        <w:t>Goran</w:t>
      </w:r>
      <w:proofErr w:type="spellEnd"/>
      <w:r w:rsidRPr="00026BE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26BEC">
        <w:rPr>
          <w:rFonts w:asciiTheme="majorBidi" w:hAnsiTheme="majorBidi" w:cstheme="majorBidi"/>
          <w:sz w:val="24"/>
          <w:szCs w:val="24"/>
        </w:rPr>
        <w:t>Matic</w:t>
      </w:r>
      <w:proofErr w:type="spellEnd"/>
      <w:r w:rsidRPr="00026BE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26BEC">
        <w:rPr>
          <w:rFonts w:asciiTheme="majorBidi" w:hAnsiTheme="majorBidi" w:cstheme="majorBidi"/>
          <w:sz w:val="24"/>
          <w:szCs w:val="24"/>
        </w:rPr>
        <w:t>Asmaa</w:t>
      </w:r>
      <w:proofErr w:type="spellEnd"/>
      <w:r w:rsidRPr="00026BEC">
        <w:rPr>
          <w:rFonts w:asciiTheme="majorBidi" w:hAnsiTheme="majorBidi" w:cstheme="majorBidi"/>
          <w:sz w:val="24"/>
          <w:szCs w:val="24"/>
        </w:rPr>
        <w:t xml:space="preserve">  Ali, </w:t>
      </w:r>
      <w:r w:rsidRPr="0024156F">
        <w:rPr>
          <w:rFonts w:asciiTheme="majorBidi" w:hAnsiTheme="majorBidi" w:cstheme="majorBidi"/>
          <w:noProof/>
          <w:sz w:val="24"/>
          <w:szCs w:val="24"/>
        </w:rPr>
        <w:t>Achraf</w:t>
      </w:r>
      <w:r w:rsidRPr="00882B76">
        <w:rPr>
          <w:rFonts w:asciiTheme="majorBidi" w:hAnsiTheme="majorBidi" w:cstheme="majorBidi"/>
          <w:sz w:val="24"/>
          <w:szCs w:val="24"/>
        </w:rPr>
        <w:t xml:space="preserve"> Al </w:t>
      </w:r>
      <w:r w:rsidRPr="0024156F">
        <w:rPr>
          <w:rFonts w:asciiTheme="majorBidi" w:hAnsiTheme="majorBidi" w:cstheme="majorBidi"/>
          <w:noProof/>
          <w:sz w:val="24"/>
          <w:szCs w:val="24"/>
        </w:rPr>
        <w:t>Faraj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spellStart"/>
      <w:r w:rsidRPr="00026BEC">
        <w:rPr>
          <w:rFonts w:asciiTheme="majorBidi" w:hAnsiTheme="majorBidi" w:cstheme="majorBidi"/>
          <w:sz w:val="24"/>
          <w:szCs w:val="24"/>
        </w:rPr>
        <w:t>FalahAlmuhanna</w:t>
      </w:r>
      <w:proofErr w:type="spellEnd"/>
      <w:r w:rsidRPr="00026BE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26BEC">
        <w:rPr>
          <w:rFonts w:asciiTheme="majorBidi" w:hAnsiTheme="majorBidi" w:cstheme="majorBidi"/>
          <w:sz w:val="24"/>
          <w:szCs w:val="24"/>
        </w:rPr>
        <w:t>KaremZoubi</w:t>
      </w:r>
      <w:proofErr w:type="spellEnd"/>
      <w:r w:rsidRPr="00026BEC">
        <w:rPr>
          <w:rFonts w:asciiTheme="majorBidi" w:hAnsiTheme="majorBidi" w:cstheme="majorBidi"/>
          <w:sz w:val="24"/>
          <w:szCs w:val="24"/>
        </w:rPr>
        <w:t>, Anas</w:t>
      </w:r>
      <w:r>
        <w:rPr>
          <w:rFonts w:asciiTheme="majorBidi" w:hAnsiTheme="majorBidi" w:cstheme="majorBidi"/>
          <w:sz w:val="24"/>
          <w:szCs w:val="24"/>
        </w:rPr>
        <w:t xml:space="preserve"> M. </w:t>
      </w:r>
      <w:r w:rsidRPr="00026BEC">
        <w:rPr>
          <w:rFonts w:asciiTheme="majorBidi" w:hAnsiTheme="majorBidi" w:cstheme="majorBidi"/>
          <w:sz w:val="24"/>
          <w:szCs w:val="24"/>
        </w:rPr>
        <w:t>Abdel Rahman</w:t>
      </w:r>
    </w:p>
    <w:p w:rsidR="00470C9E" w:rsidRDefault="00470C9E">
      <w:pPr>
        <w:rPr>
          <w:rFonts w:asciiTheme="majorBidi" w:hAnsiTheme="majorBidi" w:cstheme="majorBidi"/>
          <w:sz w:val="24"/>
          <w:szCs w:val="24"/>
        </w:rPr>
      </w:pPr>
    </w:p>
    <w:p w:rsidR="00470C9E" w:rsidRPr="00667CFB" w:rsidRDefault="00470C9E">
      <w:pPr>
        <w:rPr>
          <w:rFonts w:asciiTheme="minorBidi" w:hAnsiTheme="minorBidi" w:cstheme="minorBidi"/>
          <w:sz w:val="24"/>
          <w:szCs w:val="18"/>
        </w:rPr>
      </w:pPr>
    </w:p>
    <w:p w:rsidR="00E1504A" w:rsidRPr="00E1504A" w:rsidRDefault="00E1504A" w:rsidP="00E1504A">
      <w:pPr>
        <w:rPr>
          <w:rFonts w:asciiTheme="minorBidi" w:hAnsiTheme="minorBidi" w:cstheme="minorBidi"/>
          <w:color w:val="000000" w:themeColor="text1"/>
          <w:sz w:val="24"/>
          <w:szCs w:val="24"/>
        </w:rPr>
      </w:pPr>
      <w:r w:rsidRPr="00E1504A">
        <w:rPr>
          <w:rStyle w:val="apple-converted-space"/>
          <w:rFonts w:asciiTheme="minorBidi" w:hAnsiTheme="minorBidi" w:cstheme="minorBidi"/>
          <w:b/>
          <w:bCs/>
          <w:color w:val="000000" w:themeColor="text1"/>
          <w:sz w:val="24"/>
          <w:szCs w:val="24"/>
          <w:shd w:val="clear" w:color="auto" w:fill="FFFFFF"/>
        </w:rPr>
        <w:t xml:space="preserve">Introduction: </w:t>
      </w:r>
      <w:r w:rsidRPr="00E1504A">
        <w:rPr>
          <w:rStyle w:val="apple-converted-space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Dexamethasone (Dex) is a </w:t>
      </w:r>
      <w:r w:rsidRPr="00E1504A">
        <w:rPr>
          <w:rStyle w:val="hvr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>synthetic</w:t>
      </w:r>
      <w:r w:rsidRPr="00E1504A">
        <w:rPr>
          <w:rStyle w:val="apple-converted-space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> </w:t>
      </w:r>
      <w:r w:rsidRPr="00E1504A">
        <w:rPr>
          <w:rStyle w:val="hvr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glucocorticoid and 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>classified as</w:t>
      </w:r>
      <w:r w:rsidRPr="00E1504A">
        <w:rPr>
          <w:rStyle w:val="apple-converted-space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> 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steroid hormone </w:t>
      </w:r>
      <w:r w:rsidRPr="00E1504A">
        <w:rPr>
          <w:rStyle w:val="Hyperlink"/>
          <w:rFonts w:asciiTheme="minorBidi" w:hAnsiTheme="minorBidi" w:cstheme="minorBidi"/>
          <w:color w:val="000000" w:themeColor="text1"/>
          <w:sz w:val="24"/>
          <w:szCs w:val="24"/>
          <w:u w:val="none"/>
          <w:shd w:val="clear" w:color="auto" w:fill="FFFFFF"/>
        </w:rPr>
        <w:t xml:space="preserve">drug. </w:t>
      </w:r>
      <w:r w:rsidRPr="00E1504A">
        <w:rPr>
          <w:rStyle w:val="apple-converted-space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Dex has </w:t>
      </w:r>
      <w:r w:rsidRPr="00E1504A">
        <w:rPr>
          <w:rStyle w:val="apple-converted-space"/>
          <w:rFonts w:asciiTheme="minorBidi" w:hAnsiTheme="minorBidi" w:cstheme="minorBidi"/>
          <w:noProof/>
          <w:color w:val="000000" w:themeColor="text1"/>
          <w:sz w:val="24"/>
          <w:szCs w:val="24"/>
          <w:shd w:val="clear" w:color="auto" w:fill="FFFFFF"/>
        </w:rPr>
        <w:t>anti-inflammatory and immunosuppressant effects,</w:t>
      </w:r>
      <w:r w:rsidRPr="00E1504A">
        <w:rPr>
          <w:rStyle w:val="apple-converted-space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 and used in several conditions such as asthma and </w:t>
      </w:r>
      <w:r w:rsidRPr="00E1504A">
        <w:rPr>
          <w:rStyle w:val="apple-converted-space"/>
          <w:rFonts w:asciiTheme="minorBidi" w:hAnsiTheme="minorBidi" w:cstheme="minorBidi"/>
          <w:noProof/>
          <w:color w:val="000000" w:themeColor="text1"/>
          <w:sz w:val="24"/>
          <w:szCs w:val="24"/>
          <w:shd w:val="clear" w:color="auto" w:fill="FFFFFF"/>
        </w:rPr>
        <w:t>severe</w:t>
      </w:r>
      <w:r w:rsidRPr="00E1504A">
        <w:rPr>
          <w:rStyle w:val="apple-converted-space"/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 allergy. 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Patients receiving Dex, either at a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high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dose or for </w:t>
      </w:r>
      <w:bookmarkStart w:id="0" w:name="OLE_LINK10"/>
      <w:bookmarkStart w:id="1" w:name="OLE_LINK11"/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a long time</w:t>
      </w:r>
      <w:bookmarkEnd w:id="0"/>
      <w:bookmarkEnd w:id="1"/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, develop several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side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effectssuch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as hyperglycemia, weight change, and osteoporosis due to its non-selectivity inside the body.</w:t>
      </w:r>
    </w:p>
    <w:p w:rsidR="00E1504A" w:rsidRPr="00E1504A" w:rsidRDefault="00E1504A" w:rsidP="00E1504A">
      <w:pPr>
        <w:rPr>
          <w:rFonts w:asciiTheme="minorBidi" w:hAnsiTheme="minorBidi" w:cstheme="minorBidi"/>
          <w:color w:val="000000" w:themeColor="text1"/>
          <w:sz w:val="24"/>
          <w:szCs w:val="24"/>
        </w:rPr>
      </w:pPr>
      <w:r w:rsidRPr="00E1504A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Objectives: 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This study aims to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  <w:shd w:val="clear" w:color="auto" w:fill="FFFFFF"/>
        </w:rPr>
        <w:t>study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 the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  <w:shd w:val="clear" w:color="auto" w:fill="FFFFFF"/>
        </w:rPr>
        <w:t>pharmacometabolomics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 changes in-vivo after developing the Dex side effects, and map these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  <w:shd w:val="clear" w:color="auto" w:fill="FFFFFF"/>
        </w:rPr>
        <w:t>changes  with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 the body major metabolic pathways. </w:t>
      </w:r>
    </w:p>
    <w:p w:rsidR="00E1504A" w:rsidRPr="00E1504A" w:rsidRDefault="00E1504A" w:rsidP="00E1504A">
      <w:pPr>
        <w:rPr>
          <w:rFonts w:asciiTheme="minorBidi" w:hAnsiTheme="minorBidi" w:cstheme="minorBidi"/>
          <w:noProof/>
          <w:color w:val="000000" w:themeColor="text1"/>
          <w:sz w:val="24"/>
          <w:szCs w:val="24"/>
        </w:rPr>
      </w:pPr>
      <w:r w:rsidRPr="00E1504A">
        <w:rPr>
          <w:rFonts w:asciiTheme="minorBidi" w:hAnsiTheme="minorBidi" w:cstheme="minorBidi"/>
          <w:b/>
          <w:bCs/>
          <w:color w:val="000000" w:themeColor="text1"/>
          <w:sz w:val="24"/>
          <w:szCs w:val="24"/>
          <w:shd w:val="clear" w:color="auto" w:fill="FFFFFF"/>
        </w:rPr>
        <w:t xml:space="preserve">Methods: 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  <w:shd w:val="clear" w:color="auto" w:fill="FFFFFF"/>
        </w:rPr>
        <w:t xml:space="preserve">Two groups of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  <w:lang w:eastAsia="en-CA"/>
        </w:rPr>
        <w:t>Sprague-Dawley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male rats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were treated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with Dex for 14 weeks, and the side effects monitored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during the course of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experiment routinely. The metabolic changes were profiled using tandem mass spectrometry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.</w:t>
      </w:r>
    </w:p>
    <w:p w:rsidR="00E1504A" w:rsidRPr="00E1504A" w:rsidRDefault="00E1504A" w:rsidP="00E1504A">
      <w:pPr>
        <w:rPr>
          <w:rFonts w:asciiTheme="minorBidi" w:hAnsiTheme="minorBidi" w:cstheme="minorBidi"/>
          <w:color w:val="000000" w:themeColor="text1"/>
          <w:sz w:val="24"/>
          <w:szCs w:val="24"/>
        </w:rPr>
      </w:pPr>
      <w:r w:rsidRPr="00E1504A">
        <w:rPr>
          <w:rFonts w:asciiTheme="minorBidi" w:hAnsiTheme="minorBidi" w:cstheme="minorBidi"/>
          <w:b/>
          <w:bCs/>
          <w:noProof/>
          <w:color w:val="000000" w:themeColor="text1"/>
          <w:sz w:val="24"/>
          <w:szCs w:val="24"/>
        </w:rPr>
        <w:t>Results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>. Several metabolic changes were observed, explained and connected to</w:t>
      </w:r>
      <w:r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Dex side effects. In particular, most of the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amino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acids were reduced significantly in Dex group, which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connected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to the high blood sugar through </w:t>
      </w:r>
      <w:proofErr w:type="spellStart"/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>gluconeogenesis</w:t>
      </w:r>
      <w:proofErr w:type="spellEnd"/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pathway and high level of protein catabolism that lead to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severe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weight loss.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In addition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, some of these amino acids were found to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be associated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with bone metabolism and osteoporosis. The significant increase in some </w:t>
      </w:r>
      <w:proofErr w:type="spellStart"/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>acylcarnitines</w:t>
      </w:r>
      <w:proofErr w:type="spellEnd"/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indicated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an elevation in serum fatty acids, and degradation in adipose tissue, which supports the reduction in weight gain. The serum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hydroxyprolinethat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</w:t>
      </w:r>
      <w:r w:rsidRPr="00E1504A">
        <w:rPr>
          <w:rFonts w:asciiTheme="minorBidi" w:hAnsiTheme="minorBidi" w:cstheme="minorBidi"/>
          <w:sz w:val="24"/>
          <w:szCs w:val="24"/>
          <w:shd w:val="clear" w:color="auto" w:fill="FFFFFF"/>
        </w:rPr>
        <w:t>produced due to collagen breakdown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was increased in Dex and introduced a sensitive marker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of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bone resorption in the </w:t>
      </w:r>
      <w:r w:rsidRPr="00E1504A">
        <w:rPr>
          <w:rFonts w:asciiTheme="minorBidi" w:hAnsiTheme="minorBidi" w:cstheme="minorBidi"/>
          <w:noProof/>
          <w:color w:val="000000" w:themeColor="text1"/>
          <w:sz w:val="24"/>
          <w:szCs w:val="24"/>
        </w:rPr>
        <w:t>earlier</w:t>
      </w:r>
      <w:r w:rsidRPr="00E1504A">
        <w:rPr>
          <w:rFonts w:asciiTheme="minorBidi" w:hAnsiTheme="minorBidi" w:cstheme="minorBidi"/>
          <w:color w:val="000000" w:themeColor="text1"/>
          <w:sz w:val="24"/>
          <w:szCs w:val="24"/>
        </w:rPr>
        <w:t xml:space="preserve"> stage before even proven by BCL.</w:t>
      </w:r>
    </w:p>
    <w:p w:rsidR="00F0092D" w:rsidRPr="00E1504A" w:rsidRDefault="00E1504A" w:rsidP="00E1504A">
      <w:pPr>
        <w:rPr>
          <w:rFonts w:asciiTheme="minorBidi" w:hAnsiTheme="minorBidi" w:cstheme="minorBidi"/>
          <w:sz w:val="24"/>
          <w:szCs w:val="18"/>
        </w:rPr>
      </w:pPr>
      <w:r w:rsidRPr="00E1504A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Conclusion: </w:t>
      </w:r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 xml:space="preserve">Dexamethasone side effects </w:t>
      </w:r>
      <w:r w:rsidRPr="00E1504A">
        <w:rPr>
          <w:rFonts w:asciiTheme="minorBidi" w:eastAsia="Times New Roman" w:hAnsiTheme="minorBidi" w:cstheme="minorBidi"/>
          <w:noProof/>
          <w:sz w:val="24"/>
          <w:szCs w:val="24"/>
          <w:lang w:eastAsia="en-CA"/>
        </w:rPr>
        <w:t>are associated</w:t>
      </w:r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 xml:space="preserve"> with several metabolic changes, where the change in amino acids profile </w:t>
      </w:r>
      <w:r w:rsidRPr="00E1504A">
        <w:rPr>
          <w:rFonts w:asciiTheme="minorBidi" w:eastAsia="Times New Roman" w:hAnsiTheme="minorBidi" w:cstheme="minorBidi"/>
          <w:noProof/>
          <w:sz w:val="24"/>
          <w:szCs w:val="24"/>
          <w:lang w:eastAsia="en-CA"/>
        </w:rPr>
        <w:t>is connected</w:t>
      </w:r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 xml:space="preserve"> to the most of the developed side effects. Certain biomarkers such as (hydroxyproline, phenylalanine, tyrosine, tryptophan, and some </w:t>
      </w:r>
      <w:proofErr w:type="spellStart"/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>acylcarnitines</w:t>
      </w:r>
      <w:proofErr w:type="spellEnd"/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 xml:space="preserve">) can </w:t>
      </w:r>
      <w:r w:rsidRPr="00E1504A">
        <w:rPr>
          <w:rFonts w:asciiTheme="minorBidi" w:eastAsia="Times New Roman" w:hAnsiTheme="minorBidi" w:cstheme="minorBidi"/>
          <w:noProof/>
          <w:sz w:val="24"/>
          <w:szCs w:val="24"/>
          <w:lang w:eastAsia="en-CA"/>
        </w:rPr>
        <w:t>be considered</w:t>
      </w:r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 xml:space="preserve"> as </w:t>
      </w:r>
      <w:r w:rsidRPr="00E1504A">
        <w:rPr>
          <w:rFonts w:asciiTheme="minorBidi" w:eastAsia="Times New Roman" w:hAnsiTheme="minorBidi" w:cstheme="minorBidi"/>
          <w:noProof/>
          <w:sz w:val="24"/>
          <w:szCs w:val="24"/>
          <w:lang w:eastAsia="en-CA"/>
        </w:rPr>
        <w:t>an early biomarkers</w:t>
      </w:r>
      <w:r w:rsidRPr="00E1504A">
        <w:rPr>
          <w:rFonts w:asciiTheme="minorBidi" w:eastAsia="Times New Roman" w:hAnsiTheme="minorBidi" w:cstheme="minorBidi"/>
          <w:sz w:val="24"/>
          <w:szCs w:val="24"/>
          <w:lang w:eastAsia="en-CA"/>
        </w:rPr>
        <w:t xml:space="preserve"> for monitoring and diagnosis of the development of Dex side effects, and understanding the associated metabolic pathways for clinical applications.</w:t>
      </w:r>
    </w:p>
    <w:p w:rsidR="00F0092D" w:rsidRPr="00667CFB" w:rsidRDefault="00F0092D">
      <w:pPr>
        <w:rPr>
          <w:rFonts w:asciiTheme="minorBidi" w:hAnsiTheme="minorBidi" w:cstheme="minorBidi"/>
          <w:sz w:val="24"/>
          <w:szCs w:val="18"/>
        </w:rPr>
      </w:pPr>
      <w:bookmarkStart w:id="2" w:name="_GoBack"/>
      <w:bookmarkEnd w:id="2"/>
    </w:p>
    <w:p w:rsidR="00F0092D" w:rsidRPr="00667CFB" w:rsidRDefault="00F0092D">
      <w:pPr>
        <w:rPr>
          <w:rFonts w:asciiTheme="minorBidi" w:hAnsiTheme="minorBidi" w:cstheme="minorBidi"/>
          <w:sz w:val="24"/>
          <w:szCs w:val="18"/>
        </w:rPr>
      </w:pPr>
    </w:p>
    <w:p w:rsidR="00F0092D" w:rsidRPr="00667CFB" w:rsidRDefault="00F0092D">
      <w:pPr>
        <w:rPr>
          <w:rFonts w:asciiTheme="minorBidi" w:hAnsiTheme="minorBidi" w:cstheme="minorBidi"/>
          <w:sz w:val="24"/>
          <w:szCs w:val="18"/>
        </w:rPr>
      </w:pPr>
    </w:p>
    <w:p w:rsidR="00F0092D" w:rsidRPr="00667CFB" w:rsidRDefault="00F0092D">
      <w:pPr>
        <w:rPr>
          <w:rFonts w:asciiTheme="minorBidi" w:hAnsiTheme="minorBidi" w:cstheme="minorBidi"/>
          <w:sz w:val="24"/>
          <w:szCs w:val="18"/>
        </w:rPr>
      </w:pPr>
    </w:p>
    <w:p w:rsidR="00F0092D" w:rsidRPr="00667CFB" w:rsidRDefault="00F0092D">
      <w:pPr>
        <w:rPr>
          <w:rFonts w:asciiTheme="minorBidi" w:hAnsiTheme="minorBidi" w:cstheme="minorBidi"/>
          <w:sz w:val="24"/>
          <w:szCs w:val="18"/>
        </w:rPr>
      </w:pPr>
    </w:p>
    <w:sectPr w:rsidR="00F0092D" w:rsidRPr="00667CFB" w:rsidSect="003C5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rA0MjM0tTA0NjUxtzRX0lEKTi0uzszPAykwqgUA02T80CwAAAA="/>
  </w:docVars>
  <w:rsids>
    <w:rsidRoot w:val="00F0092D"/>
    <w:rsid w:val="00053330"/>
    <w:rsid w:val="00201AF2"/>
    <w:rsid w:val="00274F02"/>
    <w:rsid w:val="003C59A2"/>
    <w:rsid w:val="00470C9E"/>
    <w:rsid w:val="005A7E53"/>
    <w:rsid w:val="005D5AEF"/>
    <w:rsid w:val="00667CFB"/>
    <w:rsid w:val="0083329B"/>
    <w:rsid w:val="00A31B5A"/>
    <w:rsid w:val="00B77CA9"/>
    <w:rsid w:val="00BC0ABD"/>
    <w:rsid w:val="00D352B8"/>
    <w:rsid w:val="00DA3445"/>
    <w:rsid w:val="00E1504A"/>
    <w:rsid w:val="00F0092D"/>
    <w:rsid w:val="00FD6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92D"/>
    <w:pPr>
      <w:spacing w:after="0" w:line="240" w:lineRule="auto"/>
    </w:pPr>
    <w:rPr>
      <w:rFonts w:ascii="Times New Roman" w:eastAsia="Times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1504A"/>
  </w:style>
  <w:style w:type="character" w:styleId="Hyperlink">
    <w:name w:val="Hyperlink"/>
    <w:basedOn w:val="DefaultParagraphFont"/>
    <w:uiPriority w:val="99"/>
    <w:unhideWhenUsed/>
    <w:rsid w:val="00E1504A"/>
    <w:rPr>
      <w:color w:val="0000FF" w:themeColor="hyperlink"/>
      <w:u w:val="single"/>
    </w:rPr>
  </w:style>
  <w:style w:type="character" w:customStyle="1" w:styleId="hvr">
    <w:name w:val="hvr"/>
    <w:rsid w:val="00E150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92D"/>
    <w:pPr>
      <w:spacing w:after="0" w:line="240" w:lineRule="auto"/>
    </w:pPr>
    <w:rPr>
      <w:rFonts w:ascii="Times New Roman" w:eastAsia="Times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KHABAR, KHALID SAAD</dc:creator>
  <cp:lastModifiedBy>f1505946</cp:lastModifiedBy>
  <cp:revision>2</cp:revision>
  <dcterms:created xsi:type="dcterms:W3CDTF">2017-03-12T12:43:00Z</dcterms:created>
  <dcterms:modified xsi:type="dcterms:W3CDTF">2017-03-12T12:43:00Z</dcterms:modified>
</cp:coreProperties>
</file>