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33B" w:rsidRDefault="00345F5C" w:rsidP="00E35055">
      <w:pPr>
        <w:jc w:val="both"/>
        <w:rPr>
          <w:rFonts w:eastAsia="MS PGothic"/>
          <w:b/>
          <w:color w:val="000000"/>
          <w:sz w:val="22"/>
          <w:szCs w:val="22"/>
        </w:rPr>
      </w:pPr>
      <w:r>
        <w:rPr>
          <w:rFonts w:eastAsia="MS PGothic"/>
          <w:b/>
          <w:color w:val="000000"/>
          <w:sz w:val="22"/>
          <w:szCs w:val="22"/>
        </w:rPr>
        <w:t xml:space="preserve">Influence </w:t>
      </w:r>
      <w:r w:rsidR="00E35055">
        <w:rPr>
          <w:rFonts w:eastAsia="MS PGothic"/>
          <w:b/>
          <w:color w:val="000000"/>
          <w:sz w:val="22"/>
          <w:szCs w:val="22"/>
        </w:rPr>
        <w:t>of β-amyloids (Aβ40, Aβ42), tau-protein on</w:t>
      </w:r>
      <w:r w:rsidR="009D376C">
        <w:rPr>
          <w:rFonts w:eastAsia="MS PGothic"/>
          <w:b/>
          <w:color w:val="000000"/>
          <w:sz w:val="22"/>
          <w:szCs w:val="22"/>
        </w:rPr>
        <w:t xml:space="preserve"> the</w:t>
      </w:r>
      <w:r>
        <w:rPr>
          <w:rFonts w:eastAsia="MS PGothic"/>
          <w:b/>
          <w:color w:val="000000"/>
          <w:sz w:val="22"/>
          <w:szCs w:val="22"/>
        </w:rPr>
        <w:t xml:space="preserve"> ultra- and nanostructural </w:t>
      </w:r>
      <w:r w:rsidRPr="00345F5C">
        <w:rPr>
          <w:rFonts w:eastAsia="MS PGothic"/>
          <w:b/>
          <w:color w:val="000000"/>
          <w:sz w:val="22"/>
          <w:szCs w:val="22"/>
        </w:rPr>
        <w:t>features</w:t>
      </w:r>
      <w:r>
        <w:rPr>
          <w:rFonts w:eastAsia="MS PGothic"/>
          <w:b/>
          <w:color w:val="000000"/>
          <w:sz w:val="22"/>
          <w:szCs w:val="22"/>
        </w:rPr>
        <w:t xml:space="preserve"> of</w:t>
      </w:r>
      <w:r w:rsidRPr="00345F5C">
        <w:rPr>
          <w:rFonts w:eastAsia="MS PGothic"/>
          <w:b/>
          <w:color w:val="000000"/>
          <w:sz w:val="22"/>
          <w:szCs w:val="22"/>
        </w:rPr>
        <w:t xml:space="preserve"> </w:t>
      </w:r>
      <w:r w:rsidR="00E35055">
        <w:rPr>
          <w:rFonts w:eastAsia="MS PGothic"/>
          <w:b/>
          <w:color w:val="000000"/>
          <w:sz w:val="22"/>
          <w:szCs w:val="22"/>
        </w:rPr>
        <w:t>astrocyte</w:t>
      </w:r>
      <w:r>
        <w:rPr>
          <w:rFonts w:eastAsia="MS PGothic"/>
          <w:b/>
          <w:color w:val="000000"/>
          <w:sz w:val="22"/>
          <w:szCs w:val="22"/>
        </w:rPr>
        <w:t xml:space="preserve">s in experimental model in vitro </w:t>
      </w:r>
    </w:p>
    <w:p w:rsidR="008D733B" w:rsidRDefault="008D733B" w:rsidP="00E35055">
      <w:pPr>
        <w:jc w:val="both"/>
        <w:rPr>
          <w:rFonts w:eastAsia="MS PGothic"/>
          <w:b/>
          <w:color w:val="000000"/>
          <w:sz w:val="22"/>
          <w:szCs w:val="22"/>
        </w:rPr>
      </w:pPr>
    </w:p>
    <w:p w:rsidR="00E35055" w:rsidRPr="00DF7EC2" w:rsidRDefault="00DF7EC2" w:rsidP="00E35055">
      <w:pPr>
        <w:jc w:val="both"/>
        <w:rPr>
          <w:rFonts w:eastAsia="MS PGothic"/>
          <w:b/>
          <w:color w:val="000000"/>
          <w:sz w:val="19"/>
          <w:szCs w:val="19"/>
        </w:rPr>
      </w:pPr>
      <w:r w:rsidRPr="00DF7EC2">
        <w:rPr>
          <w:rFonts w:eastAsia="MS PGothic"/>
          <w:b/>
          <w:color w:val="000000"/>
          <w:sz w:val="19"/>
          <w:szCs w:val="19"/>
        </w:rPr>
        <w:t>Astashono</w:t>
      </w:r>
      <w:r>
        <w:rPr>
          <w:rFonts w:eastAsia="MS PGothic"/>
          <w:b/>
          <w:color w:val="000000"/>
          <w:sz w:val="19"/>
          <w:szCs w:val="19"/>
        </w:rPr>
        <w:t>k A</w:t>
      </w:r>
      <w:r w:rsidR="008D733B">
        <w:rPr>
          <w:rFonts w:eastAsia="MS PGothic"/>
          <w:b/>
          <w:color w:val="000000"/>
          <w:sz w:val="19"/>
          <w:szCs w:val="19"/>
        </w:rPr>
        <w:t>N</w:t>
      </w:r>
      <w:r w:rsidRPr="00DF7EC2">
        <w:rPr>
          <w:rFonts w:eastAsia="MS PGothic"/>
          <w:b/>
          <w:color w:val="000000"/>
          <w:sz w:val="19"/>
          <w:szCs w:val="19"/>
          <w:vertAlign w:val="superscript"/>
        </w:rPr>
        <w:t>1</w:t>
      </w:r>
      <w:r>
        <w:rPr>
          <w:rFonts w:eastAsia="MS PGothic"/>
          <w:b/>
          <w:color w:val="000000"/>
          <w:sz w:val="19"/>
          <w:szCs w:val="19"/>
        </w:rPr>
        <w:t xml:space="preserve">, </w:t>
      </w:r>
      <w:r w:rsidR="008D733B" w:rsidRPr="008D733B">
        <w:rPr>
          <w:rStyle w:val="a6"/>
          <w:rFonts w:eastAsia="MS Mincho"/>
          <w:color w:val="111111"/>
          <w:sz w:val="19"/>
          <w:szCs w:val="19"/>
        </w:rPr>
        <w:t>Kvacheva</w:t>
      </w:r>
      <w:r w:rsidR="00345F5C">
        <w:rPr>
          <w:rStyle w:val="a6"/>
          <w:rFonts w:eastAsia="MS Mincho"/>
          <w:color w:val="111111"/>
          <w:sz w:val="19"/>
          <w:szCs w:val="19"/>
        </w:rPr>
        <w:t xml:space="preserve"> </w:t>
      </w:r>
      <w:r w:rsidR="00345F5C" w:rsidRPr="008D733B">
        <w:rPr>
          <w:rStyle w:val="a6"/>
          <w:rFonts w:eastAsia="MS Mincho"/>
          <w:color w:val="111111"/>
          <w:sz w:val="19"/>
          <w:szCs w:val="19"/>
          <w:vertAlign w:val="superscript"/>
        </w:rPr>
        <w:t>2</w:t>
      </w:r>
      <w:r w:rsidR="00345F5C" w:rsidRPr="008D733B">
        <w:rPr>
          <w:rStyle w:val="a6"/>
          <w:rFonts w:eastAsia="MS Mincho"/>
          <w:color w:val="111111"/>
          <w:sz w:val="19"/>
          <w:szCs w:val="19"/>
        </w:rPr>
        <w:t>ZB</w:t>
      </w:r>
      <w:r w:rsidR="008D733B">
        <w:rPr>
          <w:rStyle w:val="a6"/>
          <w:rFonts w:eastAsia="MS Mincho"/>
          <w:color w:val="111111"/>
          <w:sz w:val="24"/>
          <w:szCs w:val="24"/>
        </w:rPr>
        <w:t>,</w:t>
      </w:r>
      <w:r w:rsidR="008D733B">
        <w:rPr>
          <w:rFonts w:eastAsia="MS PGothic"/>
          <w:b/>
          <w:color w:val="000000"/>
          <w:sz w:val="19"/>
          <w:szCs w:val="19"/>
        </w:rPr>
        <w:t xml:space="preserve"> </w:t>
      </w:r>
      <w:r w:rsidRPr="00DF7EC2">
        <w:rPr>
          <w:b/>
          <w:sz w:val="19"/>
          <w:szCs w:val="19"/>
        </w:rPr>
        <w:t>Poleshchuk</w:t>
      </w:r>
      <w:r w:rsidR="008D733B">
        <w:rPr>
          <w:b/>
          <w:sz w:val="19"/>
          <w:szCs w:val="19"/>
        </w:rPr>
        <w:t xml:space="preserve"> NN</w:t>
      </w:r>
      <w:r w:rsidR="008D733B" w:rsidRPr="008D733B">
        <w:rPr>
          <w:b/>
          <w:sz w:val="19"/>
          <w:szCs w:val="19"/>
          <w:vertAlign w:val="superscript"/>
        </w:rPr>
        <w:t>1</w:t>
      </w:r>
      <w:r w:rsidR="008D733B">
        <w:rPr>
          <w:b/>
          <w:sz w:val="19"/>
          <w:szCs w:val="19"/>
        </w:rPr>
        <w:t xml:space="preserve">, </w:t>
      </w:r>
      <w:r w:rsidRPr="00CE49B6">
        <w:rPr>
          <w:rStyle w:val="a6"/>
          <w:rFonts w:eastAsia="MS Mincho"/>
          <w:color w:val="111111"/>
          <w:sz w:val="24"/>
          <w:szCs w:val="24"/>
        </w:rPr>
        <w:t xml:space="preserve"> </w:t>
      </w:r>
    </w:p>
    <w:p w:rsidR="00E35055" w:rsidRDefault="00E35055" w:rsidP="003C0794">
      <w:pPr>
        <w:jc w:val="both"/>
        <w:rPr>
          <w:rFonts w:eastAsia="MS PGothic"/>
          <w:b/>
          <w:color w:val="000000"/>
          <w:sz w:val="22"/>
          <w:szCs w:val="22"/>
        </w:rPr>
      </w:pPr>
    </w:p>
    <w:p w:rsidR="00345F5C" w:rsidRPr="00345F5C" w:rsidRDefault="003C0794" w:rsidP="003C0794">
      <w:pPr>
        <w:shd w:val="clear" w:color="auto" w:fill="FFFFFF"/>
        <w:jc w:val="both"/>
        <w:rPr>
          <w:b/>
          <w:sz w:val="19"/>
          <w:szCs w:val="19"/>
          <w:lang w:val="en-IN" w:eastAsia="en-IN"/>
        </w:rPr>
      </w:pPr>
      <w:r w:rsidRPr="00345F5C">
        <w:rPr>
          <w:sz w:val="19"/>
          <w:szCs w:val="19"/>
          <w:vertAlign w:val="superscript"/>
          <w:lang w:val="en-IN" w:eastAsia="en-IN"/>
        </w:rPr>
        <w:t>1</w:t>
      </w:r>
      <w:bookmarkStart w:id="0" w:name="a1"/>
      <w:bookmarkEnd w:id="0"/>
      <w:r w:rsidR="00345F5C" w:rsidRPr="00345F5C">
        <w:rPr>
          <w:sz w:val="19"/>
          <w:szCs w:val="19"/>
        </w:rPr>
        <w:t>Republican Research &amp; Practical Centre for Epidemiology &amp; Microbiology</w:t>
      </w:r>
      <w:r w:rsidR="00345F5C" w:rsidRPr="00345F5C">
        <w:rPr>
          <w:rStyle w:val="a6"/>
          <w:rFonts w:eastAsia="MS Mincho"/>
          <w:b w:val="0"/>
          <w:color w:val="111111"/>
          <w:sz w:val="19"/>
          <w:szCs w:val="19"/>
        </w:rPr>
        <w:t>, Minsk, Belarus</w:t>
      </w:r>
      <w:r w:rsidR="00345F5C" w:rsidRPr="00345F5C">
        <w:rPr>
          <w:b/>
          <w:sz w:val="19"/>
          <w:szCs w:val="19"/>
          <w:lang w:val="en-IN" w:eastAsia="en-IN"/>
        </w:rPr>
        <w:t xml:space="preserve"> </w:t>
      </w:r>
    </w:p>
    <w:p w:rsidR="00345F5C" w:rsidRPr="00345F5C" w:rsidRDefault="003C0794" w:rsidP="00345F5C">
      <w:pPr>
        <w:shd w:val="clear" w:color="auto" w:fill="FFFFFF"/>
        <w:tabs>
          <w:tab w:val="left" w:pos="426"/>
        </w:tabs>
        <w:jc w:val="both"/>
        <w:rPr>
          <w:rStyle w:val="a6"/>
          <w:rFonts w:eastAsia="MS Mincho"/>
          <w:b w:val="0"/>
          <w:i/>
          <w:color w:val="111111"/>
          <w:sz w:val="19"/>
          <w:szCs w:val="19"/>
        </w:rPr>
      </w:pPr>
      <w:r w:rsidRPr="00345F5C">
        <w:rPr>
          <w:b/>
          <w:sz w:val="19"/>
          <w:szCs w:val="19"/>
          <w:vertAlign w:val="superscript"/>
          <w:lang w:val="en-IN" w:eastAsia="en-IN"/>
        </w:rPr>
        <w:t>2</w:t>
      </w:r>
      <w:bookmarkStart w:id="1" w:name="a2"/>
      <w:bookmarkEnd w:id="1"/>
      <w:r w:rsidR="00345F5C" w:rsidRPr="00345F5C">
        <w:rPr>
          <w:rStyle w:val="a6"/>
          <w:rFonts w:eastAsia="MS Mincho"/>
          <w:b w:val="0"/>
          <w:color w:val="111111"/>
          <w:sz w:val="19"/>
          <w:szCs w:val="19"/>
        </w:rPr>
        <w:t>Institute of Biophysics and Cell Engineering of National Academy of Sciences, Minsk, Belarus</w:t>
      </w:r>
    </w:p>
    <w:p w:rsidR="003C0794" w:rsidRPr="00351E9B" w:rsidRDefault="003C0794" w:rsidP="003C0794">
      <w:pPr>
        <w:shd w:val="clear" w:color="auto" w:fill="FFFFFF"/>
        <w:jc w:val="both"/>
        <w:rPr>
          <w:sz w:val="19"/>
          <w:szCs w:val="19"/>
          <w:lang w:val="en-IN" w:eastAsia="en-IN"/>
        </w:rPr>
      </w:pPr>
    </w:p>
    <w:p w:rsidR="008A55B5" w:rsidRPr="00351E9B" w:rsidRDefault="008A55B5">
      <w:pPr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45F5C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345F5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β-amyloid, tau-protein, </w:t>
      </w:r>
      <w:r w:rsidR="009D376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Alzheimer’s</w:t>
      </w:r>
      <w:r w:rsidR="00345F5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disease, </w:t>
      </w:r>
      <w:r w:rsidR="009D376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atomic force microscopy</w:t>
      </w:r>
    </w:p>
    <w:p w:rsidR="003C0794" w:rsidRPr="0005164C" w:rsidRDefault="003C0794" w:rsidP="003C0794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8A55B5" w:rsidRPr="0005164C" w:rsidRDefault="003C0794" w:rsidP="00861508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</w:p>
    <w:p w:rsidR="00BB3DFF" w:rsidRPr="00BB3DFF" w:rsidRDefault="00883A50" w:rsidP="00BB3DFF">
      <w:pPr>
        <w:jc w:val="both"/>
        <w:rPr>
          <w:sz w:val="19"/>
          <w:szCs w:val="19"/>
          <w:lang w:eastAsia="en-IN"/>
        </w:rPr>
      </w:pPr>
      <w:r w:rsidRPr="0025311C">
        <w:rPr>
          <w:sz w:val="19"/>
          <w:szCs w:val="19"/>
          <w:lang w:val="en-IN" w:eastAsia="en-IN"/>
        </w:rPr>
        <w:t xml:space="preserve">The present study investigated </w:t>
      </w:r>
      <w:r w:rsidR="00CB2108" w:rsidRPr="0025311C">
        <w:rPr>
          <w:bCs/>
          <w:sz w:val="19"/>
          <w:szCs w:val="19"/>
          <w:shd w:val="clear" w:color="auto" w:fill="FFFFFF"/>
        </w:rPr>
        <w:t>C6 glioma cell line</w:t>
      </w:r>
      <w:r w:rsidR="00133065" w:rsidRPr="0025311C">
        <w:rPr>
          <w:bCs/>
          <w:sz w:val="19"/>
          <w:szCs w:val="19"/>
          <w:shd w:val="clear" w:color="auto" w:fill="FFFFFF"/>
        </w:rPr>
        <w:t xml:space="preserve"> collected from </w:t>
      </w:r>
      <w:r w:rsidR="00CB2108" w:rsidRPr="0025311C">
        <w:rPr>
          <w:sz w:val="19"/>
          <w:szCs w:val="19"/>
          <w:lang w:val="en-IN" w:eastAsia="en-IN"/>
        </w:rPr>
        <w:t xml:space="preserve">Institute of cytology of the Russian </w:t>
      </w:r>
      <w:r w:rsidR="00133065" w:rsidRPr="0025311C">
        <w:rPr>
          <w:sz w:val="19"/>
          <w:szCs w:val="19"/>
          <w:lang w:val="en-IN" w:eastAsia="en-IN"/>
        </w:rPr>
        <w:t>Academy of Science (St. Petersburg) for study</w:t>
      </w:r>
      <w:r w:rsidR="00133065" w:rsidRPr="0025311C">
        <w:rPr>
          <w:sz w:val="19"/>
          <w:szCs w:val="19"/>
          <w:lang w:eastAsia="en-IN"/>
        </w:rPr>
        <w:t xml:space="preserve"> ultrastructural</w:t>
      </w:r>
      <w:r w:rsidR="00136C71" w:rsidRPr="0025311C">
        <w:rPr>
          <w:sz w:val="19"/>
          <w:szCs w:val="19"/>
          <w:lang w:eastAsia="en-IN"/>
        </w:rPr>
        <w:t xml:space="preserve"> features, topography surface and mechanical properties of astrocytes under the influence of tau-protein and pathological β-amyloids which were isolated from brain tissue </w:t>
      </w:r>
      <w:r w:rsidR="008E0C12" w:rsidRPr="0025311C">
        <w:rPr>
          <w:sz w:val="19"/>
          <w:szCs w:val="19"/>
          <w:lang w:eastAsia="en-IN"/>
        </w:rPr>
        <w:t>of</w:t>
      </w:r>
      <w:r w:rsidR="00136C71" w:rsidRPr="0025311C">
        <w:rPr>
          <w:sz w:val="19"/>
          <w:szCs w:val="19"/>
          <w:lang w:eastAsia="en-IN"/>
        </w:rPr>
        <w:t xml:space="preserve"> patients who had died from Alzheimer's.</w:t>
      </w:r>
      <w:r w:rsidR="008E0C12" w:rsidRPr="0025311C">
        <w:rPr>
          <w:sz w:val="19"/>
          <w:szCs w:val="19"/>
          <w:lang w:eastAsia="en-IN"/>
        </w:rPr>
        <w:t xml:space="preserve"> </w:t>
      </w:r>
      <w:r w:rsidR="00BB3DFF" w:rsidRPr="0025311C">
        <w:rPr>
          <w:sz w:val="19"/>
          <w:szCs w:val="19"/>
          <w:lang w:eastAsia="en-IN"/>
        </w:rPr>
        <w:t xml:space="preserve">When making </w:t>
      </w:r>
      <w:r w:rsidR="00BB3DFF" w:rsidRPr="0025311C">
        <w:rPr>
          <w:sz w:val="19"/>
          <w:szCs w:val="19"/>
          <w:lang w:eastAsia="en-IN"/>
        </w:rPr>
        <w:t>oligomeric forms of Aβ-amyloids</w:t>
      </w:r>
      <w:r w:rsidR="00BB3DFF" w:rsidRPr="0025311C">
        <w:rPr>
          <w:sz w:val="19"/>
          <w:szCs w:val="19"/>
          <w:lang w:eastAsia="en-IN"/>
        </w:rPr>
        <w:t xml:space="preserve"> </w:t>
      </w:r>
      <w:r w:rsidR="00BB3DFF" w:rsidRPr="0025311C">
        <w:rPr>
          <w:sz w:val="19"/>
          <w:szCs w:val="19"/>
          <w:lang w:eastAsia="en-IN"/>
        </w:rPr>
        <w:t>(</w:t>
      </w:r>
      <w:r w:rsidR="00BB3DFF" w:rsidRPr="0025311C">
        <w:rPr>
          <w:sz w:val="19"/>
          <w:szCs w:val="19"/>
          <w:lang w:eastAsia="en-IN"/>
        </w:rPr>
        <w:t xml:space="preserve">final </w:t>
      </w:r>
      <w:r w:rsidR="00BB3DFF" w:rsidRPr="0025311C">
        <w:rPr>
          <w:sz w:val="19"/>
          <w:szCs w:val="19"/>
          <w:lang w:eastAsia="en-IN"/>
        </w:rPr>
        <w:t>concentration 0.5 mM)</w:t>
      </w:r>
      <w:r w:rsidR="00BB3DFF" w:rsidRPr="0025311C">
        <w:rPr>
          <w:sz w:val="19"/>
          <w:szCs w:val="19"/>
          <w:lang w:eastAsia="en-IN"/>
        </w:rPr>
        <w:t xml:space="preserve"> into the cell culture, we documented the destruction the integrity of the cell monolayers, mitochondrial swelling, </w:t>
      </w:r>
      <w:r w:rsidR="00F90C0B" w:rsidRPr="0025311C">
        <w:rPr>
          <w:sz w:val="19"/>
          <w:szCs w:val="19"/>
          <w:lang w:eastAsia="en-IN"/>
        </w:rPr>
        <w:t>changes</w:t>
      </w:r>
      <w:r w:rsidR="00BB3DFF" w:rsidRPr="0025311C">
        <w:rPr>
          <w:sz w:val="19"/>
          <w:szCs w:val="19"/>
          <w:lang w:eastAsia="en-IN"/>
        </w:rPr>
        <w:t xml:space="preserve"> in</w:t>
      </w:r>
      <w:r w:rsidR="00F90C0B" w:rsidRPr="0025311C">
        <w:rPr>
          <w:sz w:val="19"/>
          <w:szCs w:val="19"/>
          <w:lang w:eastAsia="en-IN"/>
        </w:rPr>
        <w:t xml:space="preserve"> the rough endoplasmic reticulum and structural modifications of the cell membrane. </w:t>
      </w:r>
      <w:r w:rsidR="0025311C" w:rsidRPr="0025311C">
        <w:rPr>
          <w:sz w:val="19"/>
          <w:szCs w:val="19"/>
          <w:lang w:eastAsia="en-IN"/>
        </w:rPr>
        <w:t xml:space="preserve">In atomic force microscopy (AFM) studies, we found the increasing the </w:t>
      </w:r>
      <w:r w:rsidR="006E3C8A" w:rsidRPr="006E3C8A">
        <w:rPr>
          <w:sz w:val="19"/>
          <w:szCs w:val="19"/>
        </w:rPr>
        <w:t>Young's modulus</w:t>
      </w:r>
      <w:r w:rsidR="0025311C">
        <w:rPr>
          <w:sz w:val="19"/>
          <w:szCs w:val="19"/>
        </w:rPr>
        <w:t xml:space="preserve"> (</w:t>
      </w:r>
      <w:r w:rsidR="0005069B">
        <w:rPr>
          <w:sz w:val="19"/>
          <w:szCs w:val="19"/>
        </w:rPr>
        <w:t xml:space="preserve">from </w:t>
      </w:r>
      <w:r w:rsidR="006E3C8A">
        <w:rPr>
          <w:sz w:val="19"/>
          <w:szCs w:val="19"/>
        </w:rPr>
        <w:t>9.7</w:t>
      </w:r>
      <w:r w:rsidR="0005069B">
        <w:rPr>
          <w:sz w:val="19"/>
          <w:szCs w:val="19"/>
        </w:rPr>
        <w:t xml:space="preserve"> to </w:t>
      </w:r>
      <w:r w:rsidR="006E3C8A">
        <w:rPr>
          <w:sz w:val="19"/>
          <w:szCs w:val="19"/>
        </w:rPr>
        <w:t xml:space="preserve">12.7 kPa) </w:t>
      </w:r>
      <w:r w:rsidR="0025311C" w:rsidRPr="0025311C">
        <w:rPr>
          <w:sz w:val="19"/>
          <w:szCs w:val="19"/>
        </w:rPr>
        <w:t xml:space="preserve">of the cytoplasmic membrane of </w:t>
      </w:r>
      <w:r w:rsidR="006E3C8A">
        <w:rPr>
          <w:sz w:val="19"/>
          <w:szCs w:val="19"/>
        </w:rPr>
        <w:t xml:space="preserve">transforming </w:t>
      </w:r>
      <w:r w:rsidR="0025311C" w:rsidRPr="0025311C">
        <w:rPr>
          <w:sz w:val="19"/>
          <w:szCs w:val="19"/>
        </w:rPr>
        <w:t>astrocytes</w:t>
      </w:r>
      <w:r w:rsidR="0025311C" w:rsidRPr="0025311C">
        <w:rPr>
          <w:sz w:val="19"/>
          <w:szCs w:val="19"/>
          <w:lang w:eastAsia="en-IN"/>
        </w:rPr>
        <w:t xml:space="preserve"> </w:t>
      </w:r>
      <w:r w:rsidR="006E3C8A">
        <w:rPr>
          <w:sz w:val="19"/>
          <w:szCs w:val="19"/>
          <w:lang w:eastAsia="en-IN"/>
        </w:rPr>
        <w:t xml:space="preserve">and changes </w:t>
      </w:r>
      <w:r w:rsidR="0005069B">
        <w:rPr>
          <w:sz w:val="19"/>
          <w:szCs w:val="19"/>
          <w:lang w:eastAsia="en-IN"/>
        </w:rPr>
        <w:t xml:space="preserve">the </w:t>
      </w:r>
      <w:r w:rsidR="006E3C8A">
        <w:rPr>
          <w:sz w:val="19"/>
          <w:szCs w:val="19"/>
          <w:lang w:eastAsia="en-IN"/>
        </w:rPr>
        <w:t>parameters</w:t>
      </w:r>
      <w:r w:rsidR="0005069B">
        <w:rPr>
          <w:sz w:val="19"/>
          <w:szCs w:val="19"/>
          <w:lang w:eastAsia="en-IN"/>
        </w:rPr>
        <w:t xml:space="preserve"> of mean roughness (Ra) and root mean square roughness (Rq) </w:t>
      </w:r>
      <w:r w:rsidR="001A3BF3">
        <w:rPr>
          <w:sz w:val="19"/>
          <w:szCs w:val="19"/>
          <w:lang w:eastAsia="en-IN"/>
        </w:rPr>
        <w:t>as</w:t>
      </w:r>
      <w:r w:rsidR="0005069B">
        <w:rPr>
          <w:sz w:val="19"/>
          <w:szCs w:val="19"/>
          <w:lang w:eastAsia="en-IN"/>
        </w:rPr>
        <w:t xml:space="preserve"> comparison with intact cells. </w:t>
      </w:r>
      <w:r w:rsidR="004F1DD6" w:rsidRPr="004F1DD6">
        <w:rPr>
          <w:sz w:val="19"/>
          <w:szCs w:val="19"/>
          <w:lang w:eastAsia="en-IN"/>
        </w:rPr>
        <w:t>Besides, another marker</w:t>
      </w:r>
      <w:r w:rsidR="004F1DD6">
        <w:rPr>
          <w:sz w:val="19"/>
          <w:szCs w:val="19"/>
          <w:lang w:eastAsia="en-IN"/>
        </w:rPr>
        <w:t xml:space="preserve"> (tau-protein, concentration </w:t>
      </w:r>
      <w:r w:rsidR="0025311C">
        <w:rPr>
          <w:sz w:val="19"/>
          <w:szCs w:val="19"/>
          <w:lang w:eastAsia="en-IN"/>
        </w:rPr>
        <w:t>0.05 mg/ml) was found to d</w:t>
      </w:r>
      <w:r w:rsidR="0025311C" w:rsidRPr="0025311C">
        <w:rPr>
          <w:sz w:val="19"/>
          <w:szCs w:val="19"/>
          <w:lang w:eastAsia="en-IN"/>
        </w:rPr>
        <w:t>isrupt</w:t>
      </w:r>
      <w:r w:rsidR="0025311C">
        <w:rPr>
          <w:sz w:val="19"/>
          <w:szCs w:val="19"/>
          <w:lang w:eastAsia="en-IN"/>
        </w:rPr>
        <w:t xml:space="preserve"> the</w:t>
      </w:r>
      <w:r w:rsidR="0025311C" w:rsidRPr="0025311C">
        <w:rPr>
          <w:sz w:val="19"/>
          <w:szCs w:val="19"/>
          <w:lang w:eastAsia="en-IN"/>
        </w:rPr>
        <w:t xml:space="preserve"> cell membrane</w:t>
      </w:r>
      <w:r w:rsidR="0025311C">
        <w:rPr>
          <w:sz w:val="19"/>
          <w:szCs w:val="19"/>
          <w:lang w:eastAsia="en-IN"/>
        </w:rPr>
        <w:t>,</w:t>
      </w:r>
      <w:r w:rsidR="0025311C" w:rsidRPr="0025311C">
        <w:rPr>
          <w:sz w:val="19"/>
          <w:szCs w:val="19"/>
          <w:lang w:eastAsia="en-IN"/>
        </w:rPr>
        <w:t xml:space="preserve"> not similar to </w:t>
      </w:r>
      <w:r w:rsidR="0005069B">
        <w:rPr>
          <w:sz w:val="19"/>
          <w:szCs w:val="19"/>
          <w:lang w:eastAsia="en-IN"/>
        </w:rPr>
        <w:t>β-</w:t>
      </w:r>
      <w:r w:rsidR="0025311C" w:rsidRPr="0025311C">
        <w:rPr>
          <w:sz w:val="19"/>
          <w:szCs w:val="19"/>
          <w:lang w:eastAsia="en-IN"/>
        </w:rPr>
        <w:t xml:space="preserve">amyloids. </w:t>
      </w:r>
      <w:r w:rsidR="0005069B">
        <w:rPr>
          <w:sz w:val="19"/>
          <w:szCs w:val="19"/>
          <w:lang w:eastAsia="en-IN"/>
        </w:rPr>
        <w:t xml:space="preserve">We revealed </w:t>
      </w:r>
      <w:r w:rsidR="00352B41">
        <w:rPr>
          <w:sz w:val="19"/>
          <w:szCs w:val="19"/>
          <w:lang w:eastAsia="en-IN"/>
        </w:rPr>
        <w:t>more crude morphological changes in astrocytes</w:t>
      </w:r>
      <w:r w:rsidR="00352B41" w:rsidRPr="004D5756">
        <w:rPr>
          <w:sz w:val="19"/>
          <w:szCs w:val="19"/>
          <w:lang w:eastAsia="en-IN"/>
        </w:rPr>
        <w:t xml:space="preserve"> (</w:t>
      </w:r>
      <w:r w:rsidR="004D5756">
        <w:rPr>
          <w:sz w:val="19"/>
          <w:szCs w:val="19"/>
          <w:lang w:eastAsia="en-IN"/>
        </w:rPr>
        <w:t xml:space="preserve">protrusions and loss of filopodia, local fragmentation of </w:t>
      </w:r>
      <w:r w:rsidR="004D5756" w:rsidRPr="007E53EC">
        <w:rPr>
          <w:sz w:val="19"/>
          <w:szCs w:val="19"/>
        </w:rPr>
        <w:t>the cytoplasmic membrane</w:t>
      </w:r>
      <w:r w:rsidR="004D5756">
        <w:rPr>
          <w:sz w:val="19"/>
          <w:szCs w:val="19"/>
        </w:rPr>
        <w:t xml:space="preserve">, </w:t>
      </w:r>
      <w:r w:rsidR="004D5756" w:rsidRPr="007E53EC">
        <w:rPr>
          <w:sz w:val="19"/>
          <w:szCs w:val="19"/>
        </w:rPr>
        <w:t>the releas</w:t>
      </w:r>
      <w:r w:rsidR="004D5756">
        <w:rPr>
          <w:sz w:val="19"/>
          <w:szCs w:val="19"/>
        </w:rPr>
        <w:t>ing</w:t>
      </w:r>
      <w:r w:rsidR="004D5756" w:rsidRPr="007E53EC">
        <w:rPr>
          <w:sz w:val="19"/>
          <w:szCs w:val="19"/>
        </w:rPr>
        <w:t xml:space="preserve"> of the contents of the cytoplasm into the intercellular space</w:t>
      </w:r>
      <w:r w:rsidR="004D5756">
        <w:rPr>
          <w:sz w:val="19"/>
          <w:szCs w:val="19"/>
        </w:rPr>
        <w:t>).</w:t>
      </w:r>
      <w:r w:rsidR="00352B41">
        <w:rPr>
          <w:sz w:val="19"/>
          <w:szCs w:val="19"/>
          <w:lang w:eastAsia="en-IN"/>
        </w:rPr>
        <w:t xml:space="preserve"> </w:t>
      </w:r>
      <w:r w:rsidR="004D5756">
        <w:rPr>
          <w:sz w:val="19"/>
          <w:szCs w:val="19"/>
          <w:lang w:eastAsia="en-IN"/>
        </w:rPr>
        <w:t xml:space="preserve">The obtained results can increase </w:t>
      </w:r>
      <w:r w:rsidR="004D5756" w:rsidRPr="004D5756">
        <w:rPr>
          <w:rStyle w:val="a6"/>
          <w:rFonts w:eastAsia="MS Mincho"/>
          <w:b w:val="0"/>
          <w:color w:val="111111"/>
          <w:sz w:val="19"/>
          <w:szCs w:val="19"/>
        </w:rPr>
        <w:t>knowledge of</w:t>
      </w:r>
      <w:r w:rsidR="004D5756">
        <w:rPr>
          <w:rStyle w:val="a6"/>
          <w:rFonts w:eastAsia="MS Mincho"/>
          <w:b w:val="0"/>
          <w:color w:val="111111"/>
          <w:sz w:val="19"/>
          <w:szCs w:val="19"/>
        </w:rPr>
        <w:t xml:space="preserve"> the</w:t>
      </w:r>
      <w:r w:rsidR="004D5756" w:rsidRPr="004D5756">
        <w:rPr>
          <w:rStyle w:val="a6"/>
          <w:rFonts w:eastAsia="MS Mincho"/>
          <w:b w:val="0"/>
          <w:color w:val="111111"/>
          <w:sz w:val="19"/>
          <w:szCs w:val="19"/>
        </w:rPr>
        <w:t xml:space="preserve"> dysregulatory pathological processes associated with the reactivation of astroglia</w:t>
      </w:r>
      <w:r w:rsidR="004D5756">
        <w:rPr>
          <w:rStyle w:val="a6"/>
          <w:rFonts w:eastAsia="MS Mincho"/>
          <w:b w:val="0"/>
          <w:color w:val="111111"/>
          <w:sz w:val="19"/>
          <w:szCs w:val="19"/>
        </w:rPr>
        <w:t xml:space="preserve"> </w:t>
      </w:r>
      <w:r w:rsidR="004D5756" w:rsidRPr="004D5756">
        <w:rPr>
          <w:rStyle w:val="a6"/>
          <w:rFonts w:eastAsia="MS Mincho"/>
          <w:b w:val="0"/>
          <w:color w:val="111111"/>
          <w:sz w:val="19"/>
          <w:szCs w:val="19"/>
        </w:rPr>
        <w:t>in Alzheimer's</w:t>
      </w:r>
      <w:r w:rsidR="004D5756">
        <w:rPr>
          <w:rStyle w:val="a6"/>
          <w:rFonts w:eastAsia="MS Mincho"/>
          <w:b w:val="0"/>
          <w:color w:val="111111"/>
          <w:sz w:val="19"/>
          <w:szCs w:val="19"/>
        </w:rPr>
        <w:t>.</w:t>
      </w:r>
      <w:r w:rsidR="0025311C">
        <w:rPr>
          <w:sz w:val="19"/>
          <w:szCs w:val="19"/>
          <w:lang w:eastAsia="en-IN"/>
        </w:rPr>
        <w:t xml:space="preserve"> </w:t>
      </w:r>
      <w:r w:rsidR="00F90C0B">
        <w:rPr>
          <w:sz w:val="19"/>
          <w:szCs w:val="19"/>
          <w:lang w:eastAsia="en-IN"/>
        </w:rPr>
        <w:t xml:space="preserve"> </w:t>
      </w:r>
      <w:r w:rsidR="00BB3DFF">
        <w:rPr>
          <w:sz w:val="19"/>
          <w:szCs w:val="19"/>
          <w:lang w:eastAsia="en-IN"/>
        </w:rPr>
        <w:t xml:space="preserve"> </w:t>
      </w:r>
    </w:p>
    <w:p w:rsidR="00BB3DFF" w:rsidRDefault="00BB3DFF" w:rsidP="00883A50">
      <w:pPr>
        <w:jc w:val="both"/>
        <w:rPr>
          <w:sz w:val="19"/>
          <w:szCs w:val="19"/>
          <w:lang w:eastAsia="en-IN"/>
        </w:rPr>
      </w:pPr>
    </w:p>
    <w:p w:rsidR="008E0C12" w:rsidRPr="004D5756" w:rsidRDefault="00136C71" w:rsidP="008E0C12">
      <w:pPr>
        <w:jc w:val="both"/>
        <w:rPr>
          <w:sz w:val="19"/>
          <w:szCs w:val="19"/>
          <w:lang w:eastAsia="en-IN"/>
        </w:rPr>
      </w:pPr>
      <w:r w:rsidRPr="00136C71">
        <w:rPr>
          <w:sz w:val="19"/>
          <w:szCs w:val="19"/>
          <w:lang w:eastAsia="en-IN"/>
        </w:rPr>
        <w:t xml:space="preserve"> </w:t>
      </w:r>
    </w:p>
    <w:p w:rsidR="00861508" w:rsidRPr="0005164C" w:rsidRDefault="00883A50" w:rsidP="00883A50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</w:p>
    <w:p w:rsidR="00861508" w:rsidRPr="0005164C" w:rsidRDefault="00861508" w:rsidP="00861508">
      <w:pPr>
        <w:rPr>
          <w:sz w:val="19"/>
          <w:szCs w:val="19"/>
        </w:rPr>
      </w:pPr>
    </w:p>
    <w:p w:rsidR="003C0794" w:rsidRDefault="00C241BB" w:rsidP="0005069B">
      <w:pPr>
        <w:pStyle w:val="a3"/>
        <w:ind w:firstLine="0"/>
        <w:jc w:val="center"/>
        <w:rPr>
          <w:sz w:val="19"/>
          <w:szCs w:val="19"/>
        </w:rPr>
      </w:pPr>
      <w:r w:rsidRPr="003A5FD0">
        <w:rPr>
          <w:noProof/>
          <w:sz w:val="19"/>
          <w:szCs w:val="19"/>
          <w:lang w:val="ru-RU" w:eastAsia="ru-RU"/>
        </w:rPr>
        <w:drawing>
          <wp:inline distT="0" distB="0" distL="0" distR="0">
            <wp:extent cx="2409825" cy="2181225"/>
            <wp:effectExtent l="0" t="0" r="0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76C" w:rsidRDefault="0005069B" w:rsidP="003C0794">
      <w:pPr>
        <w:pStyle w:val="a3"/>
        <w:ind w:firstLine="0"/>
        <w:rPr>
          <w:sz w:val="19"/>
          <w:szCs w:val="19"/>
        </w:rPr>
      </w:pPr>
      <w:r>
        <w:rPr>
          <w:sz w:val="19"/>
          <w:szCs w:val="19"/>
        </w:rPr>
        <w:t>Figure. 1 – AFM</w:t>
      </w:r>
      <w:r w:rsidR="00352B41">
        <w:rPr>
          <w:sz w:val="19"/>
          <w:szCs w:val="19"/>
        </w:rPr>
        <w:t xml:space="preserve"> astrocyte morphology </w:t>
      </w:r>
      <w:r>
        <w:rPr>
          <w:sz w:val="19"/>
          <w:szCs w:val="19"/>
        </w:rPr>
        <w:t>after</w:t>
      </w:r>
      <w:r w:rsidRPr="0005069B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exposing with β-amyloids   </w:t>
      </w:r>
    </w:p>
    <w:p w:rsidR="009D376C" w:rsidRDefault="009D376C" w:rsidP="003C0794">
      <w:pPr>
        <w:pStyle w:val="a3"/>
        <w:ind w:firstLine="0"/>
        <w:rPr>
          <w:sz w:val="19"/>
          <w:szCs w:val="19"/>
        </w:rPr>
      </w:pPr>
    </w:p>
    <w:p w:rsidR="006458BD" w:rsidRDefault="006458BD" w:rsidP="003C0794">
      <w:pPr>
        <w:pStyle w:val="a3"/>
        <w:ind w:firstLine="0"/>
        <w:rPr>
          <w:sz w:val="19"/>
          <w:szCs w:val="19"/>
        </w:rPr>
      </w:pPr>
    </w:p>
    <w:p w:rsidR="003C0794" w:rsidRPr="0005164C" w:rsidRDefault="003C0794" w:rsidP="00861508">
      <w:pPr>
        <w:pStyle w:val="a3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9D49B8" w:rsidRPr="00CB2108" w:rsidRDefault="00560648" w:rsidP="009D49B8">
      <w:pPr>
        <w:numPr>
          <w:ilvl w:val="0"/>
          <w:numId w:val="24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bookmarkStart w:id="2" w:name="2"/>
      <w:bookmarkEnd w:id="2"/>
      <w:r w:rsidRPr="00CB2108">
        <w:rPr>
          <w:sz w:val="19"/>
          <w:szCs w:val="19"/>
        </w:rPr>
        <w:t>Murphy</w:t>
      </w:r>
      <w:r w:rsidR="009D49B8" w:rsidRPr="00CB2108">
        <w:rPr>
          <w:sz w:val="19"/>
          <w:szCs w:val="19"/>
          <w:lang w:val="en-IN" w:eastAsia="en-IN"/>
        </w:rPr>
        <w:t xml:space="preserve">, </w:t>
      </w:r>
      <w:r w:rsidRPr="00CB2108">
        <w:rPr>
          <w:sz w:val="19"/>
          <w:szCs w:val="19"/>
          <w:lang w:val="en-IN" w:eastAsia="en-IN"/>
        </w:rPr>
        <w:t>P</w:t>
      </w:r>
      <w:r w:rsidR="009D49B8" w:rsidRPr="00CB2108">
        <w:rPr>
          <w:sz w:val="19"/>
          <w:szCs w:val="19"/>
          <w:lang w:val="en-IN" w:eastAsia="en-IN"/>
        </w:rPr>
        <w:t xml:space="preserve">. and </w:t>
      </w:r>
      <w:r w:rsidRPr="00CB2108">
        <w:rPr>
          <w:sz w:val="19"/>
          <w:szCs w:val="19"/>
          <w:lang w:val="en-IN" w:eastAsia="en-IN"/>
        </w:rPr>
        <w:t>H</w:t>
      </w:r>
      <w:r w:rsidR="009D49B8" w:rsidRPr="00CB2108">
        <w:rPr>
          <w:sz w:val="19"/>
          <w:szCs w:val="19"/>
          <w:lang w:val="en-IN" w:eastAsia="en-IN"/>
        </w:rPr>
        <w:t xml:space="preserve">. </w:t>
      </w:r>
      <w:r w:rsidRPr="00CB2108">
        <w:rPr>
          <w:sz w:val="19"/>
          <w:szCs w:val="19"/>
          <w:lang w:val="en-IN" w:eastAsia="en-IN"/>
        </w:rPr>
        <w:t xml:space="preserve">LeVine, 2010. </w:t>
      </w:r>
      <w:r w:rsidR="009D49B8" w:rsidRPr="00CB2108">
        <w:rPr>
          <w:sz w:val="19"/>
          <w:szCs w:val="19"/>
          <w:lang w:val="en-IN" w:eastAsia="en-IN"/>
        </w:rPr>
        <w:t xml:space="preserve"> </w:t>
      </w:r>
      <w:r w:rsidRPr="00CB2108">
        <w:rPr>
          <w:sz w:val="19"/>
          <w:szCs w:val="19"/>
        </w:rPr>
        <w:t>Alzheimer’s Disease and the β-</w:t>
      </w:r>
      <w:r w:rsidRPr="00CB2108">
        <w:rPr>
          <w:sz w:val="19"/>
          <w:szCs w:val="19"/>
        </w:rPr>
        <w:t>a</w:t>
      </w:r>
      <w:r w:rsidRPr="00CB2108">
        <w:rPr>
          <w:sz w:val="19"/>
          <w:szCs w:val="19"/>
        </w:rPr>
        <w:t>myloid Peptide</w:t>
      </w:r>
      <w:r w:rsidRPr="00CB2108">
        <w:rPr>
          <w:sz w:val="19"/>
          <w:szCs w:val="19"/>
        </w:rPr>
        <w:t>.</w:t>
      </w:r>
      <w:r w:rsidRPr="00CB2108">
        <w:rPr>
          <w:sz w:val="19"/>
          <w:szCs w:val="19"/>
        </w:rPr>
        <w:t xml:space="preserve"> Alzheimers Dis.</w:t>
      </w:r>
      <w:r w:rsidR="00CB2108" w:rsidRPr="00CB2108">
        <w:rPr>
          <w:sz w:val="19"/>
          <w:szCs w:val="19"/>
        </w:rPr>
        <w:t>, 19</w:t>
      </w:r>
      <w:r w:rsidRPr="00CB2108">
        <w:rPr>
          <w:sz w:val="19"/>
          <w:szCs w:val="19"/>
        </w:rPr>
        <w:t xml:space="preserve">; </w:t>
      </w:r>
      <w:r w:rsidRPr="00CB2108">
        <w:rPr>
          <w:sz w:val="19"/>
          <w:szCs w:val="19"/>
        </w:rPr>
        <w:t>1–17</w:t>
      </w:r>
      <w:r w:rsidR="009D49B8" w:rsidRPr="00CB2108">
        <w:rPr>
          <w:sz w:val="19"/>
          <w:szCs w:val="19"/>
          <w:lang w:val="en-IN" w:eastAsia="en-IN"/>
        </w:rPr>
        <w:t xml:space="preserve"> </w:t>
      </w:r>
    </w:p>
    <w:p w:rsidR="006F0F74" w:rsidRPr="00CB2108" w:rsidRDefault="006F0F74" w:rsidP="00C3373E">
      <w:pPr>
        <w:numPr>
          <w:ilvl w:val="0"/>
          <w:numId w:val="16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IN" w:eastAsia="en-IN"/>
        </w:rPr>
      </w:pPr>
      <w:r w:rsidRPr="00CB2108">
        <w:rPr>
          <w:rFonts w:eastAsia="MS Mincho"/>
          <w:sz w:val="19"/>
          <w:szCs w:val="19"/>
          <w:shd w:val="clear" w:color="auto" w:fill="FFFFFF"/>
        </w:rPr>
        <w:t>González-Reyes, R.E.</w:t>
      </w:r>
      <w:r w:rsidRPr="00CB2108">
        <w:rPr>
          <w:color w:val="000000"/>
          <w:sz w:val="19"/>
          <w:szCs w:val="19"/>
          <w:shd w:val="clear" w:color="auto" w:fill="FFFFFF"/>
        </w:rPr>
        <w:t>, </w:t>
      </w:r>
      <w:r w:rsidRPr="00CB2108">
        <w:rPr>
          <w:rFonts w:eastAsia="MS Mincho"/>
          <w:sz w:val="19"/>
          <w:szCs w:val="19"/>
          <w:shd w:val="clear" w:color="auto" w:fill="FFFFFF"/>
        </w:rPr>
        <w:t>M.O.</w:t>
      </w:r>
      <w:r w:rsidRPr="00CB2108">
        <w:rPr>
          <w:rFonts w:eastAsia="MS Mincho"/>
          <w:sz w:val="19"/>
          <w:szCs w:val="19"/>
          <w:shd w:val="clear" w:color="auto" w:fill="FFFFFF"/>
        </w:rPr>
        <w:t xml:space="preserve"> Nava-Mesa</w:t>
      </w:r>
      <w:r w:rsidRPr="00CB2108">
        <w:rPr>
          <w:color w:val="000000"/>
          <w:sz w:val="19"/>
          <w:szCs w:val="19"/>
          <w:shd w:val="clear" w:color="auto" w:fill="FFFFFF"/>
        </w:rPr>
        <w:t>, </w:t>
      </w:r>
      <w:r w:rsidRPr="00CB2108">
        <w:rPr>
          <w:rFonts w:eastAsia="MS Mincho"/>
          <w:sz w:val="19"/>
          <w:szCs w:val="19"/>
          <w:shd w:val="clear" w:color="auto" w:fill="FFFFFF"/>
        </w:rPr>
        <w:t>K.</w:t>
      </w:r>
      <w:r w:rsidRPr="00CB2108">
        <w:rPr>
          <w:rFonts w:eastAsia="MS Mincho"/>
          <w:sz w:val="19"/>
          <w:szCs w:val="19"/>
          <w:shd w:val="clear" w:color="auto" w:fill="FFFFFF"/>
        </w:rPr>
        <w:t xml:space="preserve"> Vargas-Sánchez</w:t>
      </w:r>
      <w:r w:rsidRPr="00CB2108">
        <w:rPr>
          <w:color w:val="000000"/>
          <w:sz w:val="19"/>
          <w:szCs w:val="19"/>
          <w:shd w:val="clear" w:color="auto" w:fill="FFFFFF"/>
        </w:rPr>
        <w:t>, </w:t>
      </w:r>
      <w:r w:rsidR="00723B1F" w:rsidRPr="00CB2108">
        <w:rPr>
          <w:rFonts w:eastAsia="MS Mincho"/>
          <w:sz w:val="19"/>
          <w:szCs w:val="19"/>
          <w:shd w:val="clear" w:color="auto" w:fill="FFFFFF"/>
        </w:rPr>
        <w:t>D.</w:t>
      </w:r>
      <w:r w:rsidR="00723B1F" w:rsidRPr="00CB2108">
        <w:rPr>
          <w:rFonts w:eastAsia="MS Mincho"/>
          <w:sz w:val="19"/>
          <w:szCs w:val="19"/>
          <w:shd w:val="clear" w:color="auto" w:fill="FFFFFF"/>
        </w:rPr>
        <w:t xml:space="preserve"> </w:t>
      </w:r>
      <w:r w:rsidRPr="00CB2108">
        <w:rPr>
          <w:rFonts w:eastAsia="MS Mincho"/>
          <w:sz w:val="19"/>
          <w:szCs w:val="19"/>
          <w:shd w:val="clear" w:color="auto" w:fill="FFFFFF"/>
        </w:rPr>
        <w:t>Ariza-Salamanca</w:t>
      </w:r>
      <w:r w:rsidR="00723B1F" w:rsidRPr="00CB2108">
        <w:rPr>
          <w:rFonts w:eastAsia="MS Mincho"/>
          <w:sz w:val="19"/>
          <w:szCs w:val="19"/>
          <w:shd w:val="clear" w:color="auto" w:fill="FFFFFF"/>
        </w:rPr>
        <w:t xml:space="preserve"> and </w:t>
      </w:r>
      <w:r w:rsidR="00723B1F" w:rsidRPr="00CB2108">
        <w:rPr>
          <w:rFonts w:eastAsia="MS Mincho"/>
          <w:sz w:val="19"/>
          <w:szCs w:val="19"/>
          <w:shd w:val="clear" w:color="auto" w:fill="FFFFFF"/>
        </w:rPr>
        <w:t>L</w:t>
      </w:r>
      <w:r w:rsidR="00723B1F" w:rsidRPr="00CB2108">
        <w:rPr>
          <w:color w:val="000000"/>
          <w:sz w:val="19"/>
          <w:szCs w:val="19"/>
          <w:shd w:val="clear" w:color="auto" w:fill="FFFFFF"/>
        </w:rPr>
        <w:t>.</w:t>
      </w:r>
      <w:r w:rsidR="00723B1F" w:rsidRPr="00CB2108">
        <w:rPr>
          <w:color w:val="000000"/>
          <w:sz w:val="19"/>
          <w:szCs w:val="19"/>
          <w:shd w:val="clear" w:color="auto" w:fill="FFFFFF"/>
        </w:rPr>
        <w:t xml:space="preserve"> </w:t>
      </w:r>
      <w:r w:rsidRPr="00CB2108">
        <w:rPr>
          <w:rFonts w:eastAsia="MS Mincho"/>
          <w:sz w:val="19"/>
          <w:szCs w:val="19"/>
          <w:shd w:val="clear" w:color="auto" w:fill="FFFFFF"/>
        </w:rPr>
        <w:t>Mora-Muñoz</w:t>
      </w:r>
      <w:r w:rsidR="00723B1F" w:rsidRPr="00CB2108">
        <w:rPr>
          <w:rFonts w:eastAsia="MS Mincho"/>
          <w:sz w:val="19"/>
          <w:szCs w:val="19"/>
          <w:shd w:val="clear" w:color="auto" w:fill="FFFFFF"/>
        </w:rPr>
        <w:t>,</w:t>
      </w:r>
      <w:r w:rsidR="00C3373E" w:rsidRPr="00CB2108">
        <w:rPr>
          <w:rFonts w:eastAsia="MS Mincho"/>
          <w:sz w:val="19"/>
          <w:szCs w:val="19"/>
          <w:shd w:val="clear" w:color="auto" w:fill="FFFFFF"/>
        </w:rPr>
        <w:t xml:space="preserve"> </w:t>
      </w:r>
      <w:r w:rsidR="00723B1F" w:rsidRPr="00CB2108">
        <w:rPr>
          <w:rFonts w:eastAsia="MS Mincho"/>
          <w:sz w:val="19"/>
          <w:szCs w:val="19"/>
          <w:shd w:val="clear" w:color="auto" w:fill="FFFFFF"/>
        </w:rPr>
        <w:t>2017.</w:t>
      </w:r>
      <w:bookmarkStart w:id="3" w:name="_GoBack"/>
      <w:bookmarkEnd w:id="3"/>
      <w:r w:rsidR="00C3373E" w:rsidRPr="00CB2108">
        <w:rPr>
          <w:rFonts w:eastAsia="MS Mincho"/>
          <w:sz w:val="19"/>
          <w:szCs w:val="19"/>
          <w:shd w:val="clear" w:color="auto" w:fill="FFFFFF"/>
        </w:rPr>
        <w:t xml:space="preserve"> Involvement of astrocytes in Alzheimer’s disease from a </w:t>
      </w:r>
      <w:r w:rsidR="00C3373E" w:rsidRPr="00CB2108">
        <w:rPr>
          <w:bCs/>
          <w:color w:val="000000"/>
          <w:kern w:val="36"/>
          <w:sz w:val="19"/>
          <w:szCs w:val="19"/>
          <w:lang w:eastAsia="ru-RU"/>
        </w:rPr>
        <w:t>n</w:t>
      </w:r>
      <w:r w:rsidR="00C3373E" w:rsidRPr="00B373BC">
        <w:rPr>
          <w:bCs/>
          <w:color w:val="000000"/>
          <w:kern w:val="36"/>
          <w:sz w:val="19"/>
          <w:szCs w:val="19"/>
          <w:lang w:eastAsia="ru-RU"/>
        </w:rPr>
        <w:t xml:space="preserve">euroinflammatory and </w:t>
      </w:r>
      <w:r w:rsidR="00C3373E" w:rsidRPr="00CB2108">
        <w:rPr>
          <w:bCs/>
          <w:color w:val="000000"/>
          <w:kern w:val="36"/>
          <w:sz w:val="19"/>
          <w:szCs w:val="19"/>
          <w:lang w:eastAsia="ru-RU"/>
        </w:rPr>
        <w:t>o</w:t>
      </w:r>
      <w:r w:rsidR="00C3373E" w:rsidRPr="00B373BC">
        <w:rPr>
          <w:bCs/>
          <w:color w:val="000000"/>
          <w:kern w:val="36"/>
          <w:sz w:val="19"/>
          <w:szCs w:val="19"/>
          <w:lang w:eastAsia="ru-RU"/>
        </w:rPr>
        <w:t xml:space="preserve">xidative </w:t>
      </w:r>
      <w:r w:rsidR="00C3373E" w:rsidRPr="00CB2108">
        <w:rPr>
          <w:bCs/>
          <w:color w:val="000000"/>
          <w:kern w:val="36"/>
          <w:sz w:val="19"/>
          <w:szCs w:val="19"/>
          <w:lang w:eastAsia="ru-RU"/>
        </w:rPr>
        <w:t>s</w:t>
      </w:r>
      <w:r w:rsidR="00C3373E" w:rsidRPr="00B373BC">
        <w:rPr>
          <w:bCs/>
          <w:color w:val="000000"/>
          <w:kern w:val="36"/>
          <w:sz w:val="19"/>
          <w:szCs w:val="19"/>
          <w:lang w:eastAsia="ru-RU"/>
        </w:rPr>
        <w:t>tress</w:t>
      </w:r>
      <w:r w:rsidR="00C3373E" w:rsidRPr="00CB2108">
        <w:rPr>
          <w:bCs/>
          <w:color w:val="000000"/>
          <w:kern w:val="36"/>
          <w:sz w:val="19"/>
          <w:szCs w:val="19"/>
          <w:lang w:eastAsia="ru-RU"/>
        </w:rPr>
        <w:t xml:space="preserve"> </w:t>
      </w:r>
      <w:r w:rsidR="00C3373E" w:rsidRPr="00CB2108">
        <w:rPr>
          <w:bCs/>
          <w:color w:val="000000"/>
          <w:kern w:val="36"/>
          <w:sz w:val="19"/>
          <w:szCs w:val="19"/>
          <w:lang w:eastAsia="ru-RU"/>
        </w:rPr>
        <w:t>p</w:t>
      </w:r>
      <w:r w:rsidR="00C3373E" w:rsidRPr="00B373BC">
        <w:rPr>
          <w:bCs/>
          <w:color w:val="000000"/>
          <w:kern w:val="36"/>
          <w:sz w:val="19"/>
          <w:szCs w:val="19"/>
          <w:lang w:eastAsia="ru-RU"/>
        </w:rPr>
        <w:t>erspective</w:t>
      </w:r>
      <w:r w:rsidR="00C3373E" w:rsidRPr="00CB2108">
        <w:rPr>
          <w:bCs/>
          <w:color w:val="000000"/>
          <w:kern w:val="36"/>
          <w:sz w:val="19"/>
          <w:szCs w:val="19"/>
          <w:lang w:eastAsia="ru-RU"/>
        </w:rPr>
        <w:t xml:space="preserve">. </w:t>
      </w:r>
      <w:r w:rsidR="00C3373E" w:rsidRPr="00CB2108">
        <w:rPr>
          <w:color w:val="000000"/>
          <w:sz w:val="19"/>
          <w:szCs w:val="19"/>
        </w:rPr>
        <w:t>Front. Mol. Neurosci</w:t>
      </w:r>
      <w:r w:rsidR="00C3373E" w:rsidRPr="00CB2108">
        <w:rPr>
          <w:color w:val="000000"/>
          <w:sz w:val="19"/>
          <w:szCs w:val="19"/>
        </w:rPr>
        <w:t xml:space="preserve">, 10: 1–20 </w:t>
      </w:r>
      <w:r w:rsidR="00C3373E" w:rsidRPr="00CB2108">
        <w:rPr>
          <w:color w:val="000000"/>
          <w:sz w:val="19"/>
          <w:szCs w:val="19"/>
        </w:rPr>
        <w:t xml:space="preserve"> </w:t>
      </w:r>
      <w:r w:rsidR="00C3373E" w:rsidRPr="00B373BC">
        <w:rPr>
          <w:bCs/>
          <w:color w:val="000000"/>
          <w:kern w:val="36"/>
          <w:sz w:val="19"/>
          <w:szCs w:val="19"/>
          <w:lang w:eastAsia="ru-RU"/>
        </w:rPr>
        <w:t xml:space="preserve"> </w:t>
      </w:r>
    </w:p>
    <w:p w:rsidR="00CB2108" w:rsidRPr="00CB2108" w:rsidRDefault="00CB2108" w:rsidP="00CB2108">
      <w:pPr>
        <w:pStyle w:val="ad"/>
        <w:numPr>
          <w:ilvl w:val="0"/>
          <w:numId w:val="16"/>
        </w:numPr>
        <w:shd w:val="clear" w:color="auto" w:fill="FFFFFF"/>
        <w:tabs>
          <w:tab w:val="left" w:pos="426"/>
        </w:tabs>
        <w:spacing w:after="0" w:line="240" w:lineRule="auto"/>
        <w:jc w:val="both"/>
        <w:rPr>
          <w:sz w:val="19"/>
          <w:szCs w:val="19"/>
          <w:lang w:val="en-US"/>
        </w:rPr>
      </w:pPr>
      <w:r w:rsidRPr="00CB2108">
        <w:rPr>
          <w:rFonts w:ascii="Times New Roman" w:hAnsi="Times New Roman" w:cs="Times New Roman"/>
          <w:sz w:val="19"/>
          <w:szCs w:val="19"/>
          <w:lang w:val="en-US"/>
        </w:rPr>
        <w:t>Rostagno, A. and J. Ghiso, 2009. Isolation and biochemical characterization of amyloid plaques and paired helical filaments. Curr. Protoc. Cell Biol., 19; 1–31</w:t>
      </w:r>
    </w:p>
    <w:p w:rsidR="00CB2108" w:rsidRPr="00CB2108" w:rsidRDefault="00CB2108" w:rsidP="00CB2108">
      <w:pPr>
        <w:pStyle w:val="ad"/>
        <w:shd w:val="clear" w:color="auto" w:fill="FFFFFF"/>
        <w:tabs>
          <w:tab w:val="left" w:pos="426"/>
        </w:tabs>
        <w:spacing w:after="0" w:line="240" w:lineRule="auto"/>
        <w:jc w:val="both"/>
        <w:rPr>
          <w:sz w:val="19"/>
          <w:szCs w:val="19"/>
          <w:lang w:val="en-US"/>
        </w:rPr>
      </w:pPr>
    </w:p>
    <w:p w:rsidR="00861508" w:rsidRPr="0005164C" w:rsidRDefault="00861508" w:rsidP="004227FF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:rsidR="00B76980" w:rsidRPr="0005164C" w:rsidRDefault="00BD32D1" w:rsidP="00B76980">
      <w:pPr>
        <w:shd w:val="clear" w:color="auto" w:fill="FFFFFF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Andrei Astashonok </w:t>
      </w:r>
      <w:r w:rsidR="00861508" w:rsidRPr="0005164C">
        <w:rPr>
          <w:sz w:val="19"/>
          <w:szCs w:val="19"/>
        </w:rPr>
        <w:t>has completed his PhD at the age of 2</w:t>
      </w:r>
      <w:r w:rsidRPr="00BD32D1">
        <w:rPr>
          <w:sz w:val="19"/>
          <w:szCs w:val="19"/>
        </w:rPr>
        <w:t>8</w:t>
      </w:r>
      <w:r w:rsidR="00861508" w:rsidRPr="0005164C">
        <w:rPr>
          <w:sz w:val="19"/>
          <w:szCs w:val="19"/>
        </w:rPr>
        <w:t xml:space="preserve"> years</w:t>
      </w:r>
      <w:r w:rsidR="006D1F47">
        <w:rPr>
          <w:sz w:val="19"/>
          <w:szCs w:val="19"/>
        </w:rPr>
        <w:t xml:space="preserve"> in 2016 year</w:t>
      </w:r>
      <w:r w:rsidR="00861508" w:rsidRPr="0005164C">
        <w:rPr>
          <w:sz w:val="19"/>
          <w:szCs w:val="19"/>
        </w:rPr>
        <w:t xml:space="preserve"> from </w:t>
      </w:r>
      <w:r w:rsidRPr="00345F5C">
        <w:rPr>
          <w:sz w:val="19"/>
          <w:szCs w:val="19"/>
        </w:rPr>
        <w:t>Republican Research &amp; Practical Centre for Epidemiology &amp; Microbiology</w:t>
      </w:r>
      <w:r w:rsidRPr="00345F5C">
        <w:rPr>
          <w:rStyle w:val="a6"/>
          <w:rFonts w:eastAsia="MS Mincho"/>
          <w:b w:val="0"/>
          <w:color w:val="111111"/>
          <w:sz w:val="19"/>
          <w:szCs w:val="19"/>
        </w:rPr>
        <w:t>, Minsk, Belarus</w:t>
      </w:r>
      <w:r>
        <w:rPr>
          <w:rStyle w:val="a6"/>
          <w:rFonts w:eastAsia="MS Mincho"/>
          <w:b w:val="0"/>
          <w:color w:val="111111"/>
          <w:sz w:val="19"/>
          <w:szCs w:val="19"/>
        </w:rPr>
        <w:t>. He is s</w:t>
      </w:r>
      <w:r w:rsidRPr="00BD32D1">
        <w:rPr>
          <w:rStyle w:val="a6"/>
          <w:rFonts w:eastAsia="MS Mincho"/>
          <w:b w:val="0"/>
          <w:color w:val="000000"/>
          <w:sz w:val="19"/>
          <w:szCs w:val="19"/>
          <w:shd w:val="clear" w:color="auto" w:fill="FFFFFF"/>
        </w:rPr>
        <w:t xml:space="preserve">enior </w:t>
      </w:r>
      <w:r>
        <w:rPr>
          <w:rStyle w:val="a6"/>
          <w:rFonts w:eastAsia="MS Mincho"/>
          <w:b w:val="0"/>
          <w:color w:val="000000"/>
          <w:sz w:val="19"/>
          <w:szCs w:val="19"/>
          <w:shd w:val="clear" w:color="auto" w:fill="FFFFFF"/>
        </w:rPr>
        <w:t>r</w:t>
      </w:r>
      <w:r w:rsidRPr="00BD32D1">
        <w:rPr>
          <w:rStyle w:val="a6"/>
          <w:rFonts w:eastAsia="MS Mincho"/>
          <w:b w:val="0"/>
          <w:color w:val="000000"/>
          <w:sz w:val="19"/>
          <w:szCs w:val="19"/>
          <w:shd w:val="clear" w:color="auto" w:fill="FFFFFF"/>
        </w:rPr>
        <w:t xml:space="preserve">esearch </w:t>
      </w:r>
      <w:r>
        <w:rPr>
          <w:rStyle w:val="a6"/>
          <w:rFonts w:eastAsia="MS Mincho"/>
          <w:b w:val="0"/>
          <w:color w:val="000000"/>
          <w:sz w:val="19"/>
          <w:szCs w:val="19"/>
          <w:shd w:val="clear" w:color="auto" w:fill="FFFFFF"/>
        </w:rPr>
        <w:t>f</w:t>
      </w:r>
      <w:r w:rsidRPr="00BD32D1">
        <w:rPr>
          <w:rStyle w:val="a6"/>
          <w:rFonts w:eastAsia="MS Mincho"/>
          <w:b w:val="0"/>
          <w:color w:val="000000"/>
          <w:sz w:val="19"/>
          <w:szCs w:val="19"/>
          <w:shd w:val="clear" w:color="auto" w:fill="FFFFFF"/>
        </w:rPr>
        <w:t>ellow</w:t>
      </w:r>
      <w:r w:rsidRPr="00BD32D1">
        <w:rPr>
          <w:b/>
          <w:sz w:val="19"/>
          <w:szCs w:val="19"/>
          <w:lang w:val="en-IN" w:eastAsia="en-IN"/>
        </w:rPr>
        <w:t xml:space="preserve"> </w:t>
      </w:r>
      <w:r w:rsidRPr="002D7F25">
        <w:rPr>
          <w:sz w:val="19"/>
          <w:szCs w:val="19"/>
          <w:lang w:val="en-IN" w:eastAsia="en-IN"/>
        </w:rPr>
        <w:t>o</w:t>
      </w:r>
      <w:r w:rsidRPr="002D7F25">
        <w:rPr>
          <w:sz w:val="19"/>
          <w:szCs w:val="19"/>
          <w:lang w:eastAsia="en-IN"/>
        </w:rPr>
        <w:t xml:space="preserve">f </w:t>
      </w:r>
      <w:r w:rsidR="002D7F25">
        <w:rPr>
          <w:sz w:val="19"/>
          <w:szCs w:val="19"/>
          <w:lang w:eastAsia="en-IN"/>
        </w:rPr>
        <w:t xml:space="preserve">Laboratory for diagnosis of bacterial and viral coinfections, a state institution RRPC for Epidemiology and Microbiology (Belarus). He has published more than </w:t>
      </w:r>
      <w:r w:rsidR="002D7F25" w:rsidRPr="002D7F25">
        <w:rPr>
          <w:sz w:val="19"/>
          <w:szCs w:val="19"/>
          <w:lang w:eastAsia="en-IN"/>
        </w:rPr>
        <w:t xml:space="preserve">20 </w:t>
      </w:r>
      <w:r w:rsidR="002D7F25">
        <w:rPr>
          <w:sz w:val="19"/>
          <w:szCs w:val="19"/>
          <w:lang w:eastAsia="en-IN"/>
        </w:rPr>
        <w:t xml:space="preserve">domestic and </w:t>
      </w:r>
      <w:r w:rsidR="00B76980">
        <w:rPr>
          <w:sz w:val="19"/>
          <w:szCs w:val="19"/>
          <w:lang w:eastAsia="en-IN"/>
        </w:rPr>
        <w:t>foreign</w:t>
      </w:r>
      <w:r w:rsidR="002D7F25">
        <w:rPr>
          <w:sz w:val="19"/>
          <w:szCs w:val="19"/>
          <w:lang w:eastAsia="en-IN"/>
        </w:rPr>
        <w:t xml:space="preserve"> </w:t>
      </w:r>
      <w:r w:rsidR="00B76980">
        <w:rPr>
          <w:sz w:val="19"/>
          <w:szCs w:val="19"/>
          <w:lang w:eastAsia="en-IN"/>
        </w:rPr>
        <w:t>publications</w:t>
      </w:r>
      <w:r w:rsidR="006D1F47">
        <w:rPr>
          <w:sz w:val="19"/>
          <w:szCs w:val="19"/>
          <w:lang w:eastAsia="en-IN"/>
        </w:rPr>
        <w:t xml:space="preserve">. He has </w:t>
      </w:r>
      <w:r w:rsidR="00EF3B15">
        <w:rPr>
          <w:sz w:val="19"/>
          <w:szCs w:val="19"/>
          <w:lang w:eastAsia="en-IN"/>
        </w:rPr>
        <w:t xml:space="preserve">attended a courses of </w:t>
      </w:r>
      <w:r w:rsidR="00B76980">
        <w:rPr>
          <w:sz w:val="19"/>
          <w:szCs w:val="19"/>
          <w:lang w:eastAsia="en-IN"/>
        </w:rPr>
        <w:t>electron atomic force microscopy</w:t>
      </w:r>
      <w:r w:rsidR="00EF3B15">
        <w:rPr>
          <w:sz w:val="19"/>
          <w:szCs w:val="19"/>
          <w:lang w:eastAsia="en-IN"/>
        </w:rPr>
        <w:t xml:space="preserve"> techniques</w:t>
      </w:r>
      <w:r w:rsidR="00B76980">
        <w:rPr>
          <w:sz w:val="19"/>
          <w:szCs w:val="19"/>
          <w:lang w:eastAsia="en-IN"/>
        </w:rPr>
        <w:t xml:space="preserve"> in Japan.</w:t>
      </w:r>
      <w:r w:rsidR="006D1F47">
        <w:rPr>
          <w:sz w:val="19"/>
          <w:szCs w:val="19"/>
          <w:lang w:eastAsia="en-IN"/>
        </w:rPr>
        <w:t xml:space="preserve"> He is studied the cellular and molecular mechanism of Alzheimer’s disease and prion disease pathogenesis.</w:t>
      </w:r>
    </w:p>
    <w:p w:rsidR="00272C82" w:rsidRPr="0005164C" w:rsidRDefault="00861508" w:rsidP="006D1F47">
      <w:pPr>
        <w:rPr>
          <w:b/>
          <w:sz w:val="19"/>
          <w:szCs w:val="19"/>
          <w:lang w:val="en-NZ"/>
        </w:rPr>
      </w:pPr>
      <w:r w:rsidRPr="0005164C">
        <w:rPr>
          <w:sz w:val="19"/>
          <w:szCs w:val="19"/>
        </w:rPr>
        <w:br/>
      </w:r>
      <w:r w:rsidR="006D1F47">
        <w:rPr>
          <w:b/>
          <w:sz w:val="19"/>
          <w:szCs w:val="19"/>
          <w:lang w:val="en-NZ"/>
        </w:rPr>
        <w:t xml:space="preserve">V. </w:t>
      </w:r>
      <w:r w:rsidRPr="0005164C">
        <w:rPr>
          <w:b/>
          <w:sz w:val="19"/>
          <w:szCs w:val="19"/>
          <w:lang w:val="en-NZ"/>
        </w:rPr>
        <w:t>Presenting author details</w:t>
      </w:r>
    </w:p>
    <w:p w:rsidR="00272C82" w:rsidRPr="0005164C" w:rsidRDefault="00C241BB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EF3B15">
        <w:rPr>
          <w:noProof/>
          <w:sz w:val="19"/>
          <w:szCs w:val="19"/>
          <w:lang w:val="ru-RU" w:eastAsia="ru-RU"/>
        </w:rPr>
        <w:drawing>
          <wp:inline distT="0" distB="0" distL="0" distR="0">
            <wp:extent cx="1143000" cy="1314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99" t="22755" r="48364" b="39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  <w:r w:rsidR="00272C82" w:rsidRPr="0005164C">
        <w:rPr>
          <w:sz w:val="19"/>
          <w:szCs w:val="19"/>
          <w:lang w:val="en-NZ"/>
        </w:rPr>
        <w:t>Full Name:</w:t>
      </w:r>
      <w:r w:rsidR="009D376C">
        <w:rPr>
          <w:sz w:val="19"/>
          <w:szCs w:val="19"/>
          <w:lang w:val="en-NZ"/>
        </w:rPr>
        <w:t xml:space="preserve"> Astashonok Andrei Nikolayevich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9D376C">
        <w:rPr>
          <w:sz w:val="19"/>
          <w:szCs w:val="19"/>
          <w:lang w:val="en-NZ"/>
        </w:rPr>
        <w:t xml:space="preserve"> </w:t>
      </w:r>
      <w:r w:rsidR="0091726F">
        <w:rPr>
          <w:sz w:val="19"/>
          <w:szCs w:val="19"/>
          <w:lang w:val="en-NZ"/>
        </w:rPr>
        <w:t>8(017)-369-91-40</w:t>
      </w:r>
      <w:r w:rsidR="00EF3B15">
        <w:rPr>
          <w:sz w:val="19"/>
          <w:szCs w:val="19"/>
          <w:lang w:val="en-NZ"/>
        </w:rPr>
        <w:t>; 8(029)-501-50-31</w:t>
      </w:r>
      <w:r w:rsidRPr="0005164C">
        <w:rPr>
          <w:sz w:val="19"/>
          <w:szCs w:val="19"/>
          <w:lang w:val="en-NZ"/>
        </w:rPr>
        <w:br/>
        <w:t>Twitter account:</w:t>
      </w:r>
      <w:r w:rsidR="009D376C">
        <w:rPr>
          <w:sz w:val="19"/>
          <w:szCs w:val="19"/>
          <w:lang w:val="en-NZ"/>
        </w:rPr>
        <w:t xml:space="preserve"> -  </w:t>
      </w:r>
      <w:r w:rsidRPr="0005164C">
        <w:rPr>
          <w:sz w:val="19"/>
          <w:szCs w:val="19"/>
          <w:lang w:val="en-NZ"/>
        </w:rPr>
        <w:br/>
        <w:t>Linked In account:</w:t>
      </w:r>
      <w:r w:rsidR="0091726F">
        <w:rPr>
          <w:sz w:val="19"/>
          <w:szCs w:val="19"/>
          <w:lang w:val="en-NZ"/>
        </w:rPr>
        <w:t xml:space="preserve"> - 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EF3B15">
        <w:rPr>
          <w:sz w:val="19"/>
          <w:szCs w:val="19"/>
          <w:lang w:val="en-NZ"/>
        </w:rPr>
        <w:t xml:space="preserve"> 13 (Biomarkers in Alzheimer’s disease)</w:t>
      </w:r>
      <w:r w:rsidRPr="0005164C">
        <w:rPr>
          <w:sz w:val="19"/>
          <w:szCs w:val="19"/>
          <w:lang w:val="en-NZ"/>
        </w:rPr>
        <w:br/>
        <w:t xml:space="preserve">Category: (Oral presentation/ </w:t>
      </w:r>
      <w:r w:rsidRPr="009D376C">
        <w:rPr>
          <w:b/>
          <w:sz w:val="19"/>
          <w:szCs w:val="19"/>
          <w:lang w:val="en-NZ"/>
        </w:rPr>
        <w:t>Poster presentation</w:t>
      </w:r>
      <w:r w:rsidRPr="0005164C">
        <w:rPr>
          <w:sz w:val="19"/>
          <w:szCs w:val="19"/>
          <w:lang w:val="en-NZ"/>
        </w:rPr>
        <w:t>)</w:t>
      </w:r>
    </w:p>
    <w:p w:rsidR="00861508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IN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 w:rsidR="0091726F">
        <w:rPr>
          <w:sz w:val="18"/>
          <w:szCs w:val="18"/>
          <w:lang w:val="en-IN"/>
        </w:rPr>
        <w:t xml:space="preserve"> </w:t>
      </w:r>
      <w:r w:rsidR="006458BD">
        <w:rPr>
          <w:sz w:val="18"/>
          <w:szCs w:val="18"/>
          <w:lang w:val="en-IN"/>
        </w:rPr>
        <w:t>MC2360456</w:t>
      </w:r>
    </w:p>
    <w:sectPr w:rsidR="00861508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autami">
    <w:panose1 w:val="02000500000000000000"/>
    <w:charset w:val="01"/>
    <w:family w:val="roman"/>
    <w:pitch w:val="variable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 w15:restartNumberingAfterBreak="0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0C556B"/>
    <w:multiLevelType w:val="multilevel"/>
    <w:tmpl w:val="9B080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 w15:restartNumberingAfterBreak="0">
    <w:nsid w:val="4189603E"/>
    <w:multiLevelType w:val="multilevel"/>
    <w:tmpl w:val="1E7CD33E"/>
    <w:lvl w:ilvl="0">
      <w:start w:val="1"/>
      <w:numFmt w:val="upperRoman"/>
      <w:pStyle w:val="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 w15:restartNumberingAfterBreak="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1" w15:restartNumberingAfterBreak="0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3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5" w15:restartNumberingAfterBreak="0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6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3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0"/>
  </w:num>
  <w:num w:numId="9">
    <w:abstractNumId w:val="14"/>
  </w:num>
  <w:num w:numId="10">
    <w:abstractNumId w:val="7"/>
  </w:num>
  <w:num w:numId="11">
    <w:abstractNumId w:val="3"/>
  </w:num>
  <w:num w:numId="12">
    <w:abstractNumId w:val="17"/>
  </w:num>
  <w:num w:numId="13">
    <w:abstractNumId w:val="9"/>
  </w:num>
  <w:num w:numId="14">
    <w:abstractNumId w:val="11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2"/>
  </w:num>
  <w:num w:numId="23">
    <w:abstractNumId w:val="15"/>
  </w:num>
  <w:num w:numId="24">
    <w:abstractNumId w:val="1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A6"/>
    <w:rsid w:val="0004390D"/>
    <w:rsid w:val="0005069B"/>
    <w:rsid w:val="0005164C"/>
    <w:rsid w:val="000B4641"/>
    <w:rsid w:val="0010711E"/>
    <w:rsid w:val="00127EDD"/>
    <w:rsid w:val="00133065"/>
    <w:rsid w:val="00136C71"/>
    <w:rsid w:val="001A3BF3"/>
    <w:rsid w:val="002043C0"/>
    <w:rsid w:val="00220EE3"/>
    <w:rsid w:val="0025311C"/>
    <w:rsid w:val="002571BA"/>
    <w:rsid w:val="00272C82"/>
    <w:rsid w:val="00276735"/>
    <w:rsid w:val="002835A7"/>
    <w:rsid w:val="002864A3"/>
    <w:rsid w:val="002B3B81"/>
    <w:rsid w:val="002D7F25"/>
    <w:rsid w:val="00345F5C"/>
    <w:rsid w:val="00351E9B"/>
    <w:rsid w:val="00352B41"/>
    <w:rsid w:val="003A47B5"/>
    <w:rsid w:val="003A59A6"/>
    <w:rsid w:val="003A5FD0"/>
    <w:rsid w:val="003C0794"/>
    <w:rsid w:val="004059FE"/>
    <w:rsid w:val="004227FF"/>
    <w:rsid w:val="004445B3"/>
    <w:rsid w:val="004D5756"/>
    <w:rsid w:val="004F1DD6"/>
    <w:rsid w:val="00560648"/>
    <w:rsid w:val="005B520E"/>
    <w:rsid w:val="005B535B"/>
    <w:rsid w:val="006108A4"/>
    <w:rsid w:val="006458BD"/>
    <w:rsid w:val="00663E31"/>
    <w:rsid w:val="006C4648"/>
    <w:rsid w:val="006D1F47"/>
    <w:rsid w:val="006E3C8A"/>
    <w:rsid w:val="006F0F74"/>
    <w:rsid w:val="0072064C"/>
    <w:rsid w:val="00723B1F"/>
    <w:rsid w:val="007442B3"/>
    <w:rsid w:val="00753F7B"/>
    <w:rsid w:val="0078398E"/>
    <w:rsid w:val="00787C5A"/>
    <w:rsid w:val="007919DE"/>
    <w:rsid w:val="007C0308"/>
    <w:rsid w:val="008014D2"/>
    <w:rsid w:val="008054BC"/>
    <w:rsid w:val="00812538"/>
    <w:rsid w:val="00841147"/>
    <w:rsid w:val="00861508"/>
    <w:rsid w:val="00883A50"/>
    <w:rsid w:val="008A55B5"/>
    <w:rsid w:val="008A75C8"/>
    <w:rsid w:val="008D733B"/>
    <w:rsid w:val="008E0C12"/>
    <w:rsid w:val="00907876"/>
    <w:rsid w:val="0091726F"/>
    <w:rsid w:val="0097508D"/>
    <w:rsid w:val="009D376C"/>
    <w:rsid w:val="009D49B8"/>
    <w:rsid w:val="00A510F7"/>
    <w:rsid w:val="00AC6519"/>
    <w:rsid w:val="00B76980"/>
    <w:rsid w:val="00BB3DFF"/>
    <w:rsid w:val="00BD32D1"/>
    <w:rsid w:val="00C241BB"/>
    <w:rsid w:val="00C3373E"/>
    <w:rsid w:val="00CB1404"/>
    <w:rsid w:val="00CB2108"/>
    <w:rsid w:val="00CB66E6"/>
    <w:rsid w:val="00D319E1"/>
    <w:rsid w:val="00D9156D"/>
    <w:rsid w:val="00DF7EC2"/>
    <w:rsid w:val="00E177DC"/>
    <w:rsid w:val="00E35055"/>
    <w:rsid w:val="00E91219"/>
    <w:rsid w:val="00E918C4"/>
    <w:rsid w:val="00EA506F"/>
    <w:rsid w:val="00EE4362"/>
    <w:rsid w:val="00EF18D7"/>
    <w:rsid w:val="00EF1E8A"/>
    <w:rsid w:val="00EF3A1A"/>
    <w:rsid w:val="00EF3B15"/>
    <w:rsid w:val="00F9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530D7B"/>
  <w15:chartTrackingRefBased/>
  <w15:docId w15:val="{E494F6E5-72A8-42E0-A0B9-43AFB1BD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2">
    <w:name w:val="heading 2"/>
    <w:basedOn w:val="a"/>
    <w:next w:val="a"/>
    <w:link w:val="20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3">
    <w:name w:val="heading 3"/>
    <w:basedOn w:val="a"/>
    <w:next w:val="a"/>
    <w:link w:val="30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4">
    <w:name w:val="heading 4"/>
    <w:basedOn w:val="a"/>
    <w:next w:val="a"/>
    <w:link w:val="40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5">
    <w:name w:val="heading 5"/>
    <w:basedOn w:val="a"/>
    <w:next w:val="a"/>
    <w:link w:val="50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20">
    <w:name w:val="Заголовок 2 Знак"/>
    <w:link w:val="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30">
    <w:name w:val="Заголовок 3 Знак"/>
    <w:link w:val="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40">
    <w:name w:val="Заголовок 4 Знак"/>
    <w:link w:val="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a3">
    <w:name w:val="Body Text"/>
    <w:basedOn w:val="a"/>
    <w:link w:val="a4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a4">
    <w:name w:val="Основной текст Знак"/>
    <w:link w:val="a3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a3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a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a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a5">
    <w:name w:val="Normal (Web)"/>
    <w:basedOn w:val="a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a6">
    <w:name w:val="Strong"/>
    <w:uiPriority w:val="22"/>
    <w:qFormat/>
    <w:rsid w:val="003C0794"/>
    <w:rPr>
      <w:b/>
      <w:bCs/>
    </w:rPr>
  </w:style>
  <w:style w:type="character" w:styleId="a7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a8">
    <w:name w:val="Emphasis"/>
    <w:uiPriority w:val="20"/>
    <w:qFormat/>
    <w:rsid w:val="003C0794"/>
    <w:rPr>
      <w:i/>
      <w:iCs/>
    </w:rPr>
  </w:style>
  <w:style w:type="paragraph" w:styleId="a9">
    <w:name w:val="annotation text"/>
    <w:basedOn w:val="a"/>
    <w:link w:val="aa"/>
    <w:uiPriority w:val="99"/>
    <w:semiHidden/>
    <w:unhideWhenUsed/>
    <w:rsid w:val="003C0794"/>
  </w:style>
  <w:style w:type="character" w:customStyle="1" w:styleId="aa">
    <w:name w:val="Текст примечания Знак"/>
    <w:link w:val="a9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ab">
    <w:name w:val="annotation subject"/>
    <w:basedOn w:val="a9"/>
    <w:next w:val="a9"/>
    <w:link w:val="ac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ac">
    <w:name w:val="Тема примечания Знак"/>
    <w:link w:val="ab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paragraph" w:styleId="ad">
    <w:name w:val="List Paragraph"/>
    <w:basedOn w:val="a"/>
    <w:uiPriority w:val="34"/>
    <w:qFormat/>
    <w:rsid w:val="00CB2108"/>
    <w:pPr>
      <w:spacing w:after="160" w:line="259" w:lineRule="auto"/>
      <w:ind w:left="720"/>
      <w:contextualSpacing/>
      <w:jc w:val="left"/>
    </w:pPr>
    <w:rPr>
      <w:rFonts w:ascii="Calibri" w:eastAsia="Calibri" w:hAnsi="Calibri" w:cs="Calibr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7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Paper Title (use style: paper title)</vt:lpstr>
      <vt:lpstr>Paper Title (use style: paper title)</vt:lpstr>
    </vt:vector>
  </TitlesOfParts>
  <Company>IEEE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Пользователь Windows</cp:lastModifiedBy>
  <cp:revision>2</cp:revision>
  <dcterms:created xsi:type="dcterms:W3CDTF">2019-01-24T12:23:00Z</dcterms:created>
  <dcterms:modified xsi:type="dcterms:W3CDTF">2019-01-24T12:23:00Z</dcterms:modified>
</cp:coreProperties>
</file>