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19D2" w:rsidRPr="005019D2" w:rsidRDefault="005019D2" w:rsidP="005019D2">
      <w:pPr>
        <w:pStyle w:val="a7"/>
        <w:suppressLineNumbers/>
        <w:spacing w:line="480" w:lineRule="auto"/>
        <w:ind w:right="522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Intake of ω-6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p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olyunsaturated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atty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a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cid-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r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ich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v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egetable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o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ils and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r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isk of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l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ifestyle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d</w:t>
      </w:r>
      <w:r w:rsidRPr="005019D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iseases</w:t>
      </w:r>
    </w:p>
    <w:p w:rsidR="00876981" w:rsidRDefault="00876981" w:rsidP="00876981">
      <w:pPr>
        <w:pStyle w:val="a7"/>
        <w:suppressLineNumbers/>
        <w:spacing w:line="480" w:lineRule="auto"/>
        <w:ind w:right="522"/>
        <w:jc w:val="both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proofErr w:type="spellStart"/>
      <w:r w:rsidRPr="00635869">
        <w:rPr>
          <w:rFonts w:ascii="Times New Roman" w:hAnsi="Times New Roman"/>
          <w:color w:val="000000" w:themeColor="text1"/>
          <w:sz w:val="24"/>
          <w:szCs w:val="24"/>
        </w:rPr>
        <w:t>Tetsumori</w:t>
      </w:r>
      <w:proofErr w:type="spellEnd"/>
      <w:r w:rsidRPr="00635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35869">
        <w:rPr>
          <w:rFonts w:ascii="Times New Roman" w:hAnsi="Times New Roman"/>
          <w:color w:val="000000" w:themeColor="text1"/>
          <w:sz w:val="24"/>
          <w:szCs w:val="24"/>
        </w:rPr>
        <w:t>Yamashima</w:t>
      </w:r>
      <w:proofErr w:type="spellEnd"/>
      <w:r w:rsidR="00562626">
        <w:rPr>
          <w:rFonts w:ascii="Times New Roman" w:hAnsi="Times New Roman"/>
          <w:color w:val="000000" w:themeColor="text1"/>
          <w:sz w:val="24"/>
          <w:szCs w:val="24"/>
        </w:rPr>
        <w:t xml:space="preserve"> MD, PhD</w:t>
      </w:r>
    </w:p>
    <w:p w:rsidR="00876981" w:rsidRPr="00184021" w:rsidRDefault="00CC30BD" w:rsidP="00184021">
      <w:pPr>
        <w:pStyle w:val="a7"/>
        <w:suppressLineNumbers/>
        <w:ind w:right="522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Research Fellow, Monkey Project Team Leader</w:t>
      </w:r>
    </w:p>
    <w:p w:rsidR="00876981" w:rsidRPr="00184021" w:rsidRDefault="00876981" w:rsidP="00184021">
      <w:pPr>
        <w:suppressLineNumbers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84021">
        <w:rPr>
          <w:rFonts w:ascii="Times New Roman" w:hAnsi="Times New Roman" w:cs="Times New Roman"/>
          <w:color w:val="000000" w:themeColor="text1"/>
          <w:sz w:val="21"/>
          <w:szCs w:val="21"/>
        </w:rPr>
        <w:t>Departments of Psychiatry and Behavioral Science, C</w:t>
      </w:r>
      <w:r w:rsidRPr="0018402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ell Metabolism and Nutrition </w:t>
      </w:r>
    </w:p>
    <w:p w:rsidR="00184021" w:rsidRDefault="00876981" w:rsidP="00184021">
      <w:pPr>
        <w:pStyle w:val="a7"/>
        <w:suppressLineNumbers/>
        <w:ind w:right="522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84021">
        <w:rPr>
          <w:rFonts w:ascii="Times New Roman" w:hAnsi="Times New Roman" w:cs="Times New Roman"/>
          <w:color w:val="000000" w:themeColor="text1"/>
          <w:sz w:val="21"/>
          <w:szCs w:val="21"/>
        </w:rPr>
        <w:t>Kanazawa University Graduate School of Medical Science</w:t>
      </w:r>
      <w:r w:rsidR="00AF4E53" w:rsidRPr="00184021">
        <w:rPr>
          <w:rFonts w:ascii="Times New Roman" w:hAnsi="Times New Roman" w:cs="Times New Roman"/>
          <w:color w:val="000000" w:themeColor="text1"/>
          <w:sz w:val="21"/>
          <w:szCs w:val="21"/>
        </w:rPr>
        <w:t>s</w:t>
      </w:r>
      <w:r w:rsidRPr="00184021">
        <w:rPr>
          <w:rFonts w:ascii="Times New Roman" w:hAnsi="Times New Roman" w:cs="Times New Roman"/>
          <w:color w:val="000000" w:themeColor="text1"/>
          <w:sz w:val="21"/>
          <w:szCs w:val="21"/>
        </w:rPr>
        <w:t>, Kanazawa, Ja</w:t>
      </w:r>
      <w:r w:rsidR="00184021">
        <w:rPr>
          <w:rFonts w:ascii="Times New Roman" w:hAnsi="Times New Roman" w:cs="Times New Roman"/>
          <w:color w:val="000000" w:themeColor="text1"/>
          <w:sz w:val="21"/>
          <w:szCs w:val="21"/>
        </w:rPr>
        <w:t>pan</w:t>
      </w:r>
    </w:p>
    <w:p w:rsidR="00184021" w:rsidRDefault="00184021" w:rsidP="00184021">
      <w:pPr>
        <w:pStyle w:val="a7"/>
        <w:suppressLineNumbers/>
        <w:ind w:right="522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184021" w:rsidRPr="00184021" w:rsidRDefault="00184021" w:rsidP="00184021">
      <w:pPr>
        <w:pStyle w:val="a7"/>
        <w:suppressLineNumbers/>
        <w:ind w:right="52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4021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1840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ummary</w:t>
      </w:r>
    </w:p>
    <w:p w:rsidR="00184021" w:rsidRDefault="00184021" w:rsidP="00CC30BD">
      <w:pPr>
        <w:pStyle w:val="a5"/>
        <w:spacing w:line="320" w:lineRule="exact"/>
        <w:rPr>
          <w:rFonts w:cs="Times New Roman"/>
          <w:b/>
          <w:bCs/>
          <w:color w:val="000000" w:themeColor="text1"/>
          <w:sz w:val="24"/>
          <w:szCs w:val="24"/>
        </w:rPr>
      </w:pPr>
      <w:r w:rsidRPr="00635869">
        <w:rPr>
          <w:rFonts w:cs="Times New Roman"/>
          <w:color w:val="000000" w:themeColor="text1"/>
          <w:sz w:val="24"/>
          <w:szCs w:val="24"/>
        </w:rPr>
        <w:t>Although excessive consumption of deep-fried foods is regarded as one of the most important epidemiological factors of lifestyle diseases such as Alzheimer’s disease</w:t>
      </w:r>
      <w:r>
        <w:rPr>
          <w:rFonts w:cs="Times New Roman"/>
          <w:color w:val="000000" w:themeColor="text1"/>
          <w:sz w:val="24"/>
          <w:szCs w:val="24"/>
        </w:rPr>
        <w:t>,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type 2 diabetes</w:t>
      </w:r>
      <w:r>
        <w:rPr>
          <w:rFonts w:cs="Times New Roman"/>
          <w:color w:val="000000" w:themeColor="text1"/>
          <w:sz w:val="24"/>
          <w:szCs w:val="24"/>
        </w:rPr>
        <w:t>,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 xml:space="preserve">and 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obesity, the exact mechanism still remains unknown. This is to discuss whether the heated </w:t>
      </w:r>
      <w:r w:rsidRPr="00635869">
        <w:rPr>
          <w:rFonts w:cs="Times New Roman" w:hint="eastAsia"/>
          <w:color w:val="000000" w:themeColor="text1"/>
          <w:sz w:val="24"/>
          <w:szCs w:val="24"/>
        </w:rPr>
        <w:t>cooking</w:t>
      </w:r>
      <w:r w:rsidRPr="00635869">
        <w:rPr>
          <w:rFonts w:eastAsia="GulliverRM" w:cs="Times New Roman"/>
          <w:color w:val="000000" w:themeColor="text1"/>
          <w:sz w:val="24"/>
          <w:szCs w:val="24"/>
        </w:rPr>
        <w:t xml:space="preserve"> oil-derived peroxidation product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may cause cell degeneration/death for the occurrence of lifestyle diseases. Deep-fried foods cooked by ω-6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 w:rsidRPr="00876981">
        <w:rPr>
          <w:rFonts w:cs="Times New Roman"/>
          <w:color w:val="000000" w:themeColor="text1"/>
          <w:sz w:val="24"/>
          <w:szCs w:val="24"/>
        </w:rPr>
        <w:t>polyunsaturated fatty acid (PUFA)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-rich </w:t>
      </w:r>
      <w:r w:rsidRPr="00635869">
        <w:rPr>
          <w:rFonts w:cs="Times New Roman" w:hint="eastAsia"/>
          <w:color w:val="000000" w:themeColor="text1"/>
          <w:sz w:val="24"/>
          <w:szCs w:val="24"/>
        </w:rPr>
        <w:t>vegetable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oil</w:t>
      </w:r>
      <w:r>
        <w:rPr>
          <w:rFonts w:cs="Times New Roman"/>
          <w:color w:val="000000" w:themeColor="text1"/>
          <w:sz w:val="24"/>
          <w:szCs w:val="24"/>
        </w:rPr>
        <w:t>s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such as rapeseed</w:t>
      </w:r>
      <w:r>
        <w:rPr>
          <w:rFonts w:cs="Times New Roman"/>
          <w:color w:val="000000" w:themeColor="text1"/>
          <w:sz w:val="24"/>
          <w:szCs w:val="24"/>
        </w:rPr>
        <w:t xml:space="preserve"> (canola)</w:t>
      </w:r>
      <w:r w:rsidRPr="00635869">
        <w:rPr>
          <w:rFonts w:cs="Times New Roman"/>
          <w:color w:val="000000" w:themeColor="text1"/>
          <w:sz w:val="24"/>
          <w:szCs w:val="24"/>
        </w:rPr>
        <w:t>, soybean, and sunflower oils, already contain or intrinsically generate ‘</w:t>
      </w:r>
      <w:proofErr w:type="spellStart"/>
      <w:r w:rsidRPr="00635869">
        <w:rPr>
          <w:rFonts w:cs="Times New Roman"/>
          <w:color w:val="000000" w:themeColor="text1"/>
          <w:sz w:val="24"/>
          <w:szCs w:val="24"/>
        </w:rPr>
        <w:t>hydroxynonenal</w:t>
      </w:r>
      <w:proofErr w:type="spellEnd"/>
      <w:r w:rsidRPr="00635869">
        <w:rPr>
          <w:rFonts w:cs="Times New Roman"/>
          <w:color w:val="000000" w:themeColor="text1"/>
          <w:sz w:val="24"/>
          <w:szCs w:val="24"/>
        </w:rPr>
        <w:t xml:space="preserve">’ by peroxidation. As demonstrated previously, </w:t>
      </w:r>
      <w:proofErr w:type="spellStart"/>
      <w:r w:rsidRPr="00635869">
        <w:rPr>
          <w:rFonts w:cs="Times New Roman"/>
          <w:color w:val="000000" w:themeColor="text1"/>
          <w:sz w:val="24"/>
          <w:szCs w:val="24"/>
        </w:rPr>
        <w:t>hydroxynonenal</w:t>
      </w:r>
      <w:proofErr w:type="spellEnd"/>
      <w:r w:rsidRPr="00635869">
        <w:rPr>
          <w:rFonts w:cs="Times New Roman"/>
          <w:color w:val="000000" w:themeColor="text1"/>
          <w:sz w:val="24"/>
          <w:szCs w:val="24"/>
        </w:rPr>
        <w:t xml:space="preserve"> promotes carbonylation of Hsp70.1, with the resultant impaired ability of cells to recycle damaged proteins and stabilize the lysosomal membrane. Until now, </w:t>
      </w:r>
      <w:r w:rsidRPr="00635869">
        <w:rPr>
          <w:rFonts w:cs="Times New Roman" w:hint="eastAsia"/>
          <w:color w:val="000000" w:themeColor="text1"/>
          <w:sz w:val="24"/>
          <w:szCs w:val="24"/>
        </w:rPr>
        <w:t>implication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of autophagy/lysosomal failure due to daily consumption of ω-6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 w:rsidRPr="00876981">
        <w:rPr>
          <w:rFonts w:cs="Times New Roman"/>
          <w:color w:val="000000" w:themeColor="text1"/>
          <w:sz w:val="24"/>
          <w:szCs w:val="24"/>
        </w:rPr>
        <w:t xml:space="preserve">PUFA-rich </w:t>
      </w:r>
      <w:r w:rsidRPr="00876981">
        <w:rPr>
          <w:rFonts w:cs="Times New Roman" w:hint="eastAsia"/>
          <w:color w:val="000000" w:themeColor="text1"/>
          <w:sz w:val="24"/>
          <w:szCs w:val="24"/>
        </w:rPr>
        <w:t>vegetable</w:t>
      </w:r>
      <w:r w:rsidRPr="00876981">
        <w:rPr>
          <w:rFonts w:cs="Times New Roman"/>
          <w:color w:val="000000" w:themeColor="text1"/>
          <w:sz w:val="24"/>
          <w:szCs w:val="24"/>
        </w:rPr>
        <w:t xml:space="preserve"> oil in</w:t>
      </w:r>
      <w:r w:rsidRPr="00876981">
        <w:rPr>
          <w:rFonts w:cs="Times New Roman" w:hint="eastAsia"/>
          <w:color w:val="000000" w:themeColor="text1"/>
          <w:sz w:val="24"/>
          <w:szCs w:val="24"/>
        </w:rPr>
        <w:t xml:space="preserve"> </w:t>
      </w:r>
      <w:r w:rsidRPr="00876981">
        <w:rPr>
          <w:rFonts w:cs="Times New Roman"/>
          <w:color w:val="000000" w:themeColor="text1"/>
          <w:sz w:val="24"/>
          <w:szCs w:val="24"/>
        </w:rPr>
        <w:t xml:space="preserve">the progression of cell degeneration/death was not reported. Since the ‘calpain-cathepsin hypothesis’ was formulated as a cause of ischemic neuronal death in 1998, its relevance to Alzheimer neuronal death has been suggested with particular attention to </w:t>
      </w:r>
      <w:proofErr w:type="spellStart"/>
      <w:r w:rsidRPr="00876981">
        <w:rPr>
          <w:rFonts w:cs="Times New Roman"/>
          <w:color w:val="000000" w:themeColor="text1"/>
          <w:sz w:val="24"/>
          <w:szCs w:val="24"/>
        </w:rPr>
        <w:t>hydroxynonenal</w:t>
      </w:r>
      <w:proofErr w:type="spellEnd"/>
      <w:r w:rsidRPr="00876981">
        <w:rPr>
          <w:rFonts w:cs="Times New Roman"/>
          <w:color w:val="000000" w:themeColor="text1"/>
          <w:sz w:val="24"/>
          <w:szCs w:val="24"/>
        </w:rPr>
        <w:t xml:space="preserve">. However, </w:t>
      </w:r>
      <w:r w:rsidRPr="00876981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its relevance to </w:t>
      </w:r>
      <w:r w:rsidRPr="00876981">
        <w:rPr>
          <w:rFonts w:cs="Times New Roman"/>
          <w:color w:val="000000" w:themeColor="text1"/>
          <w:sz w:val="24"/>
          <w:szCs w:val="24"/>
        </w:rPr>
        <w:t xml:space="preserve">cell death of the hypothalamus, liver, and pancreas, especially being related to the appetite/energy control, is unknown. The hypothalamus senses information 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from both </w:t>
      </w:r>
      <w:r w:rsidRPr="0063586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adipocyte-derived 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leptin and circulating free fatty acids. Levels of circulating fatty acid and its oxidized form especially </w:t>
      </w:r>
      <w:proofErr w:type="spellStart"/>
      <w:r w:rsidRPr="00635869">
        <w:rPr>
          <w:rFonts w:cs="Times New Roman"/>
          <w:color w:val="000000" w:themeColor="text1"/>
          <w:sz w:val="24"/>
          <w:szCs w:val="24"/>
        </w:rPr>
        <w:t>hydroxynonenal</w:t>
      </w:r>
      <w:proofErr w:type="spellEnd"/>
      <w:r w:rsidRPr="00635869">
        <w:rPr>
          <w:rFonts w:cs="Times New Roman"/>
          <w:color w:val="000000" w:themeColor="text1"/>
          <w:sz w:val="24"/>
          <w:szCs w:val="24"/>
        </w:rPr>
        <w:t xml:space="preserve"> are increased in obese and/or aged subjects. As overactivation of fatty acid receptor GPR40 in response to excessive or oxidized fatty acids </w:t>
      </w:r>
      <w:r>
        <w:rPr>
          <w:rFonts w:cs="Times New Roman"/>
          <w:color w:val="000000" w:themeColor="text1"/>
          <w:sz w:val="24"/>
          <w:szCs w:val="24"/>
        </w:rPr>
        <w:t xml:space="preserve">in these subjects </w:t>
      </w:r>
      <w:r w:rsidRPr="00635869">
        <w:rPr>
          <w:rFonts w:cs="Times New Roman"/>
          <w:color w:val="000000" w:themeColor="text1"/>
          <w:sz w:val="24"/>
          <w:szCs w:val="24"/>
        </w:rPr>
        <w:t>may lead to the disruption of Ca</w:t>
      </w:r>
      <w:r w:rsidRPr="00635869">
        <w:rPr>
          <w:rFonts w:cs="Times New Roman"/>
          <w:color w:val="000000" w:themeColor="text1"/>
          <w:sz w:val="24"/>
          <w:szCs w:val="24"/>
          <w:vertAlign w:val="superscript"/>
        </w:rPr>
        <w:t>2+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homeostasis, it should be evaluated whether GPR40 overactivation contributes to diverse cell death. Here, </w:t>
      </w:r>
      <w:r>
        <w:rPr>
          <w:rFonts w:cs="Times New Roman"/>
          <w:color w:val="000000" w:themeColor="text1"/>
          <w:sz w:val="24"/>
          <w:szCs w:val="24"/>
        </w:rPr>
        <w:t>I</w:t>
      </w:r>
      <w:r w:rsidRPr="00635869">
        <w:rPr>
          <w:rFonts w:cs="Times New Roman"/>
          <w:color w:val="000000" w:themeColor="text1"/>
          <w:sz w:val="24"/>
          <w:szCs w:val="24"/>
        </w:rPr>
        <w:t xml:space="preserve"> describe the molecular implication o</w:t>
      </w:r>
      <w:r w:rsidRPr="00876981">
        <w:rPr>
          <w:rFonts w:cs="Times New Roman"/>
          <w:color w:val="000000" w:themeColor="text1"/>
          <w:sz w:val="24"/>
          <w:szCs w:val="24"/>
        </w:rPr>
        <w:t xml:space="preserve">f </w:t>
      </w:r>
      <w:r w:rsidRPr="00876981">
        <w:rPr>
          <w:rFonts w:eastAsia="ＭＳ Ｐゴシック" w:cs="Times New Roman"/>
          <w:color w:val="000000" w:themeColor="text1"/>
          <w:sz w:val="24"/>
          <w:szCs w:val="24"/>
        </w:rPr>
        <w:t>ω-6 PUFA</w:t>
      </w:r>
      <w:r w:rsidRPr="00876981">
        <w:rPr>
          <w:rFonts w:cs="Times New Roman"/>
          <w:color w:val="000000" w:themeColor="text1"/>
          <w:sz w:val="24"/>
          <w:szCs w:val="24"/>
        </w:rPr>
        <w:t>-rich</w:t>
      </w:r>
      <w:r w:rsidRPr="00876981">
        <w:rPr>
          <w:rFonts w:ascii="Arial" w:eastAsia="ＭＳ Ｐゴシック" w:hAnsi="Arial" w:cs="Arial"/>
          <w:color w:val="000000" w:themeColor="text1"/>
        </w:rPr>
        <w:t xml:space="preserve"> </w:t>
      </w:r>
      <w:r w:rsidRPr="00876981">
        <w:rPr>
          <w:rFonts w:eastAsia="GulliverRM" w:cs="Times New Roman"/>
          <w:color w:val="000000" w:themeColor="text1"/>
          <w:sz w:val="24"/>
          <w:szCs w:val="24"/>
        </w:rPr>
        <w:t xml:space="preserve">vegetable oil-derived </w:t>
      </w:r>
      <w:proofErr w:type="spellStart"/>
      <w:r w:rsidRPr="00876981">
        <w:rPr>
          <w:rFonts w:cs="Times New Roman"/>
          <w:color w:val="000000" w:themeColor="text1"/>
          <w:sz w:val="24"/>
          <w:szCs w:val="24"/>
        </w:rPr>
        <w:t>hydroxynonenal</w:t>
      </w:r>
      <w:proofErr w:type="spellEnd"/>
      <w:r w:rsidRPr="00876981">
        <w:rPr>
          <w:rFonts w:cs="Times New Roman"/>
          <w:color w:val="000000" w:themeColor="text1"/>
          <w:sz w:val="24"/>
          <w:szCs w:val="24"/>
        </w:rPr>
        <w:t xml:space="preserve"> in the lysosomal destabilization/rupture for diverse cell death. By covalently modifying Hsp70.1, both the dietary PUFA- (exo</w:t>
      </w:r>
      <w:r w:rsidRPr="00635869">
        <w:rPr>
          <w:rFonts w:cs="Times New Roman"/>
          <w:color w:val="000000" w:themeColor="text1"/>
          <w:sz w:val="24"/>
          <w:szCs w:val="24"/>
        </w:rPr>
        <w:t>genous) and the membrane phospholipid- (intrinsic) peroxidation product ‘</w:t>
      </w:r>
      <w:proofErr w:type="spellStart"/>
      <w:r w:rsidRPr="00635869">
        <w:rPr>
          <w:rFonts w:cs="Times New Roman"/>
          <w:color w:val="000000" w:themeColor="text1"/>
          <w:sz w:val="24"/>
          <w:szCs w:val="24"/>
        </w:rPr>
        <w:t>hydroxynonenal</w:t>
      </w:r>
      <w:proofErr w:type="spellEnd"/>
      <w:r w:rsidRPr="00635869">
        <w:rPr>
          <w:rFonts w:cs="Times New Roman"/>
          <w:color w:val="000000" w:themeColor="text1"/>
          <w:sz w:val="24"/>
          <w:szCs w:val="24"/>
        </w:rPr>
        <w:t xml:space="preserve">’, combined together, may play crucial roles in the occurrence of </w:t>
      </w:r>
      <w:r>
        <w:rPr>
          <w:rFonts w:cs="Times New Roman"/>
          <w:color w:val="000000" w:themeColor="text1"/>
          <w:sz w:val="24"/>
          <w:szCs w:val="24"/>
        </w:rPr>
        <w:t xml:space="preserve">Alzheimer’s disease and related </w:t>
      </w:r>
      <w:r w:rsidRPr="00635869">
        <w:rPr>
          <w:rFonts w:cs="Times New Roman"/>
          <w:color w:val="000000" w:themeColor="text1"/>
          <w:sz w:val="24"/>
          <w:szCs w:val="24"/>
        </w:rPr>
        <w:t>lifestyle diseases.</w:t>
      </w:r>
    </w:p>
    <w:p w:rsidR="00CC30BD" w:rsidRDefault="00CC30BD" w:rsidP="00184021"/>
    <w:p w:rsidR="00184021" w:rsidRPr="00184021" w:rsidRDefault="00184021" w:rsidP="00184021">
      <w:pPr>
        <w:rPr>
          <w:rFonts w:ascii="Times New Roman" w:hAnsi="Times New Roman" w:cs="Times New Roman"/>
          <w:b/>
        </w:rPr>
      </w:pPr>
      <w:r w:rsidRPr="00184021">
        <w:rPr>
          <w:rFonts w:ascii="Times New Roman" w:hAnsi="Times New Roman" w:cs="Times New Roman"/>
          <w:b/>
        </w:rPr>
        <w:t>References</w:t>
      </w:r>
    </w:p>
    <w:p w:rsidR="00E7122C" w:rsidRPr="00917689" w:rsidRDefault="00184021" w:rsidP="00917689">
      <w:pPr>
        <w:pStyle w:val="Web"/>
        <w:rPr>
          <w:rFonts w:hint="eastAsia"/>
        </w:rPr>
      </w:pPr>
      <w:proofErr w:type="spellStart"/>
      <w:r w:rsidRPr="00E7122C">
        <w:rPr>
          <w:rFonts w:ascii="Times New Roman" w:eastAsia="ＭＳ 明朝" w:hAnsi="Times New Roman" w:cs="Times New Roman"/>
        </w:rPr>
        <w:t>Yamashima</w:t>
      </w:r>
      <w:proofErr w:type="spellEnd"/>
      <w:r w:rsidRPr="00E7122C">
        <w:rPr>
          <w:rFonts w:ascii="Times New Roman" w:eastAsia="ＭＳ 明朝" w:hAnsi="Times New Roman" w:cs="Times New Roman"/>
        </w:rPr>
        <w:t xml:space="preserve"> T</w:t>
      </w:r>
      <w:r w:rsidR="00CC30BD">
        <w:rPr>
          <w:rFonts w:ascii="Times New Roman" w:eastAsia="ＭＳ 明朝" w:hAnsi="Times New Roman" w:cs="Times New Roman"/>
        </w:rPr>
        <w:t>.</w:t>
      </w:r>
      <w:r w:rsidRPr="00E7122C">
        <w:rPr>
          <w:rFonts w:ascii="Times New Roman" w:eastAsia="ＭＳ 明朝" w:hAnsi="Times New Roman" w:cs="Times New Roman"/>
        </w:rPr>
        <w:t xml:space="preserve">, et al. Intake of ω-6 polyunsaturated fatty acid-rich vegetable oils and risk of lifestyle diseases. Adv </w:t>
      </w:r>
      <w:proofErr w:type="spellStart"/>
      <w:r w:rsidRPr="00E7122C">
        <w:rPr>
          <w:rFonts w:ascii="Times New Roman" w:eastAsia="ＭＳ 明朝" w:hAnsi="Times New Roman" w:cs="Times New Roman"/>
        </w:rPr>
        <w:t>Nutr</w:t>
      </w:r>
      <w:proofErr w:type="spellEnd"/>
      <w:r w:rsidRPr="00E7122C">
        <w:rPr>
          <w:rFonts w:ascii="Times New Roman" w:eastAsia="ＭＳ 明朝" w:hAnsi="Times New Roman" w:cs="Times New Roman"/>
        </w:rPr>
        <w:t xml:space="preserve"> </w:t>
      </w:r>
      <w:r w:rsidR="00917689">
        <w:rPr>
          <w:rFonts w:ascii="Times New Roman" w:eastAsia="ＭＳ 明朝" w:hAnsi="Times New Roman" w:cs="Times New Roman"/>
        </w:rPr>
        <w:t xml:space="preserve">00:1-21, </w:t>
      </w:r>
      <w:r w:rsidRPr="00E7122C">
        <w:rPr>
          <w:rStyle w:val="cit"/>
          <w:rFonts w:ascii="Times New Roman" w:eastAsia="ＭＳ 明朝" w:hAnsi="Times New Roman" w:cs="Times New Roman"/>
        </w:rPr>
        <w:t>2020.</w:t>
      </w:r>
      <w:r w:rsidRPr="00E7122C">
        <w:rPr>
          <w:rFonts w:ascii="Times New Roman" w:eastAsia="ＭＳ 明朝" w:hAnsi="Times New Roman" w:cs="Times New Roman"/>
        </w:rPr>
        <w:t xml:space="preserve"> </w:t>
      </w:r>
      <w:proofErr w:type="spellStart"/>
      <w:r w:rsidR="00917689" w:rsidRPr="00917689">
        <w:rPr>
          <w:rFonts w:ascii="Times New Roman" w:hAnsi="Times New Roman" w:cs="Times New Roman"/>
        </w:rPr>
        <w:t>doi</w:t>
      </w:r>
      <w:proofErr w:type="spellEnd"/>
      <w:r w:rsidR="00917689" w:rsidRPr="00917689">
        <w:rPr>
          <w:rFonts w:ascii="Times New Roman" w:hAnsi="Times New Roman" w:cs="Times New Roman"/>
        </w:rPr>
        <w:t xml:space="preserve">: </w:t>
      </w:r>
      <w:r w:rsidR="00917689" w:rsidRPr="00917689">
        <w:rPr>
          <w:rFonts w:ascii="Times New Roman" w:hAnsi="Times New Roman" w:cs="Times New Roman"/>
          <w:color w:val="0000FF"/>
        </w:rPr>
        <w:t xml:space="preserve">https://doi.org/10.1093/advances/nmaa072. </w:t>
      </w:r>
    </w:p>
    <w:sectPr w:rsidR="00E7122C" w:rsidRPr="00917689" w:rsidSect="00EF07BA">
      <w:footerReference w:type="default" r:id="rId7"/>
      <w:pgSz w:w="11900" w:h="16840"/>
      <w:pgMar w:top="1440" w:right="1077" w:bottom="1440" w:left="107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67A2" w:rsidRDefault="00B867A2">
      <w:r>
        <w:separator/>
      </w:r>
    </w:p>
  </w:endnote>
  <w:endnote w:type="continuationSeparator" w:id="0">
    <w:p w:rsidR="00B867A2" w:rsidRDefault="00B8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游ゴシック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liverRM">
    <w:altName w:val="Arial Unicode MS"/>
    <w:panose1 w:val="020B0604020202020204"/>
    <w:charset w:val="80"/>
    <w:family w:val="auto"/>
    <w:notTrueType/>
    <w:pitch w:val="default"/>
    <w:sig w:usb0="00002A87" w:usb1="08070000" w:usb2="00000010" w:usb3="00000000" w:csb0="0002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46969" w:rsidRDefault="00876981">
    <w:pPr>
      <w:pStyle w:val="a4"/>
      <w:tabs>
        <w:tab w:val="clear" w:pos="9020"/>
        <w:tab w:val="center" w:pos="4819"/>
        <w:tab w:val="right" w:pos="9638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67A2" w:rsidRDefault="00B867A2">
      <w:r>
        <w:separator/>
      </w:r>
    </w:p>
  </w:footnote>
  <w:footnote w:type="continuationSeparator" w:id="0">
    <w:p w:rsidR="00B867A2" w:rsidRDefault="00B86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233A3"/>
    <w:multiLevelType w:val="hybridMultilevel"/>
    <w:tmpl w:val="994A102C"/>
    <w:lvl w:ilvl="0" w:tplc="C8D4FB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81"/>
    <w:rsid w:val="00184021"/>
    <w:rsid w:val="001D25A2"/>
    <w:rsid w:val="002726A5"/>
    <w:rsid w:val="005019D2"/>
    <w:rsid w:val="00562626"/>
    <w:rsid w:val="00705DFB"/>
    <w:rsid w:val="008212AA"/>
    <w:rsid w:val="00876981"/>
    <w:rsid w:val="00917689"/>
    <w:rsid w:val="009D73A2"/>
    <w:rsid w:val="009F2D67"/>
    <w:rsid w:val="00AA5A08"/>
    <w:rsid w:val="00AF4E53"/>
    <w:rsid w:val="00B867A2"/>
    <w:rsid w:val="00BE54D3"/>
    <w:rsid w:val="00C11285"/>
    <w:rsid w:val="00CC30BD"/>
    <w:rsid w:val="00DD3951"/>
    <w:rsid w:val="00E077F4"/>
    <w:rsid w:val="00E7122C"/>
    <w:rsid w:val="00EE40A4"/>
    <w:rsid w:val="00EF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898307"/>
  <w14:defaultImageDpi w14:val="32767"/>
  <w15:chartTrackingRefBased/>
  <w15:docId w15:val="{9813C536-B564-2A40-B070-D3762DAA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876981"/>
    <w:rPr>
      <w:rFonts w:ascii="ＭＳ Ｐゴシック" w:eastAsia="ＭＳ Ｐゴシック" w:hAnsi="ＭＳ Ｐゴシック" w:cs="ＭＳ Ｐゴシック"/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76981"/>
    <w:rPr>
      <w:u w:val="single"/>
    </w:rPr>
  </w:style>
  <w:style w:type="paragraph" w:customStyle="1" w:styleId="a4">
    <w:name w:val="ヘッダとフッタ"/>
    <w:rsid w:val="0087698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ヒラギノ角ゴ ProN W3" w:hAnsi="ヒラギノ角ゴ ProN W3" w:cs="Arial Unicode MS"/>
      <w:color w:val="000000"/>
      <w:kern w:val="0"/>
      <w:bdr w:val="nil"/>
    </w:rPr>
  </w:style>
  <w:style w:type="paragraph" w:styleId="a5">
    <w:name w:val="Body Text"/>
    <w:link w:val="a6"/>
    <w:rsid w:val="00876981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jc w:val="both"/>
    </w:pPr>
    <w:rPr>
      <w:rFonts w:ascii="Times New Roman" w:hAnsi="Times New Roman" w:cs="Arial Unicode MS"/>
      <w:color w:val="000000"/>
      <w:kern w:val="0"/>
      <w:sz w:val="22"/>
      <w:szCs w:val="22"/>
      <w:bdr w:val="nil"/>
    </w:rPr>
  </w:style>
  <w:style w:type="character" w:customStyle="1" w:styleId="a6">
    <w:name w:val="本文 (文字)"/>
    <w:basedOn w:val="a0"/>
    <w:link w:val="a5"/>
    <w:rsid w:val="00876981"/>
    <w:rPr>
      <w:rFonts w:ascii="Times New Roman" w:hAnsi="Times New Roman" w:cs="Arial Unicode MS"/>
      <w:color w:val="000000"/>
      <w:kern w:val="0"/>
      <w:sz w:val="22"/>
      <w:szCs w:val="22"/>
      <w:bdr w:val="nil"/>
    </w:rPr>
  </w:style>
  <w:style w:type="paragraph" w:customStyle="1" w:styleId="a7">
    <w:name w:val="デフォルト"/>
    <w:rsid w:val="008769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hAnsi="ヒラギノ角ゴ ProN W3" w:cs="Arial Unicode MS"/>
      <w:color w:val="000000"/>
      <w:kern w:val="0"/>
      <w:sz w:val="22"/>
      <w:szCs w:val="22"/>
      <w:bdr w:val="nil"/>
    </w:rPr>
  </w:style>
  <w:style w:type="character" w:customStyle="1" w:styleId="apple-converted-space">
    <w:name w:val="apple-converted-space"/>
    <w:basedOn w:val="a0"/>
    <w:rsid w:val="00876981"/>
  </w:style>
  <w:style w:type="paragraph" w:styleId="Web">
    <w:name w:val="Normal (Web)"/>
    <w:basedOn w:val="a"/>
    <w:uiPriority w:val="99"/>
    <w:unhideWhenUsed/>
    <w:rsid w:val="00876981"/>
    <w:pPr>
      <w:spacing w:before="100" w:beforeAutospacing="1" w:after="100" w:afterAutospacing="1"/>
    </w:pPr>
  </w:style>
  <w:style w:type="character" w:customStyle="1" w:styleId="highlight">
    <w:name w:val="highlight"/>
    <w:basedOn w:val="a0"/>
    <w:rsid w:val="00876981"/>
  </w:style>
  <w:style w:type="character" w:customStyle="1" w:styleId="cit">
    <w:name w:val="cit"/>
    <w:rsid w:val="00E7122C"/>
  </w:style>
  <w:style w:type="character" w:customStyle="1" w:styleId="citation-doi">
    <w:name w:val="citation-doi"/>
    <w:rsid w:val="00E71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7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山嶋哲盛</dc:creator>
  <cp:keywords/>
  <dc:description/>
  <cp:lastModifiedBy>山嶋 哲盛</cp:lastModifiedBy>
  <cp:revision>2</cp:revision>
  <dcterms:created xsi:type="dcterms:W3CDTF">2020-11-18T04:34:00Z</dcterms:created>
  <dcterms:modified xsi:type="dcterms:W3CDTF">2020-11-18T04:34:00Z</dcterms:modified>
</cp:coreProperties>
</file>