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012EE" w14:textId="77777777" w:rsidR="006203F9" w:rsidRDefault="006203F9"/>
    <w:p w14:paraId="2B232681" w14:textId="77777777" w:rsidR="006203F9" w:rsidRPr="005D1E8A" w:rsidRDefault="006203F9">
      <w:pPr>
        <w:rPr>
          <w:vertAlign w:val="superscript"/>
        </w:rPr>
      </w:pPr>
      <w:r w:rsidRPr="000677D6">
        <w:rPr>
          <w:b/>
        </w:rPr>
        <w:t>Prognostic factors in metastatic melanoma patients on immunotherapy and targeted therapy</w:t>
      </w:r>
      <w:r w:rsidRPr="006203F9">
        <w:t>.</w:t>
      </w:r>
      <w:r>
        <w:t xml:space="preserve"> S. Naderi-Azad</w:t>
      </w:r>
      <w:r w:rsidR="005D1E8A">
        <w:rPr>
          <w:vertAlign w:val="superscript"/>
        </w:rPr>
        <w:t>1</w:t>
      </w:r>
      <w:r>
        <w:t>,</w:t>
      </w:r>
      <w:r w:rsidR="005D1E8A">
        <w:t xml:space="preserve"> X. Bai</w:t>
      </w:r>
      <w:r w:rsidR="005D1E8A">
        <w:rPr>
          <w:vertAlign w:val="superscript"/>
        </w:rPr>
        <w:t>1</w:t>
      </w:r>
      <w:r w:rsidR="005D1E8A">
        <w:t>, D. Frederick</w:t>
      </w:r>
      <w:r w:rsidR="005D1E8A">
        <w:rPr>
          <w:vertAlign w:val="superscript"/>
        </w:rPr>
        <w:t>1</w:t>
      </w:r>
      <w:r w:rsidR="005D1E8A">
        <w:t>, T. Sharova</w:t>
      </w:r>
      <w:r w:rsidR="005D1E8A">
        <w:rPr>
          <w:vertAlign w:val="superscript"/>
        </w:rPr>
        <w:t>1</w:t>
      </w:r>
      <w:r w:rsidR="005D1E8A">
        <w:t>, B. Michaud</w:t>
      </w:r>
      <w:r w:rsidR="005D1E8A">
        <w:rPr>
          <w:vertAlign w:val="superscript"/>
        </w:rPr>
        <w:t>1</w:t>
      </w:r>
      <w:r w:rsidR="005D1E8A">
        <w:t>, G. Boland</w:t>
      </w:r>
      <w:r w:rsidR="005D1E8A">
        <w:rPr>
          <w:vertAlign w:val="superscript"/>
        </w:rPr>
        <w:t>1,2</w:t>
      </w:r>
      <w:r w:rsidR="005D1E8A">
        <w:t>, R. Sullivan</w:t>
      </w:r>
      <w:r w:rsidR="005D1E8A">
        <w:rPr>
          <w:vertAlign w:val="superscript"/>
        </w:rPr>
        <w:t>1</w:t>
      </w:r>
    </w:p>
    <w:p w14:paraId="7E88E805" w14:textId="77777777" w:rsidR="005D1E8A" w:rsidRDefault="005D1E8A"/>
    <w:p w14:paraId="6539FAC1" w14:textId="77777777" w:rsidR="005D1E8A" w:rsidRPr="005D1E8A" w:rsidRDefault="005D1E8A">
      <w:r>
        <w:rPr>
          <w:vertAlign w:val="superscript"/>
        </w:rPr>
        <w:t>1</w:t>
      </w:r>
      <w:r>
        <w:t xml:space="preserve">Massachusetts General Hospital Cancer Centre, Harvard Medical School, Boston, MA, USA </w:t>
      </w:r>
      <w:r>
        <w:rPr>
          <w:vertAlign w:val="superscript"/>
        </w:rPr>
        <w:t>2</w:t>
      </w:r>
      <w:r>
        <w:t>Department of Surgery, Massachusetts General Hospital, Harvard Medical School, MA, USA</w:t>
      </w:r>
    </w:p>
    <w:p w14:paraId="7C55B087" w14:textId="77777777" w:rsidR="006203F9" w:rsidRDefault="006203F9">
      <w:bookmarkStart w:id="0" w:name="_GoBack"/>
      <w:bookmarkEnd w:id="0"/>
    </w:p>
    <w:p w14:paraId="7E6212E4" w14:textId="3DBF49C4" w:rsidR="00CE394A" w:rsidRPr="005D1E8A" w:rsidRDefault="006203F9">
      <w:r>
        <w:rPr>
          <w:b/>
        </w:rPr>
        <w:t xml:space="preserve">INTRODUCTION. </w:t>
      </w:r>
      <w:r>
        <w:t xml:space="preserve">Advanced melanoma involves metastasis to distant sites that is associated with poor long-term survival (Fisher et al., 2012). The sites of survival include (A) subcutaneous tissue and soft tissue, (B) lungs, (C) bones and visceral organs, (D) brain and spinal cord (Fisher et al., 2012). Current treatment options </w:t>
      </w:r>
      <w:r w:rsidR="008D485C">
        <w:t xml:space="preserve">for melanoma </w:t>
      </w:r>
      <w:r>
        <w:t xml:space="preserve">include interleukin 2, targeted therapy (BRAFi, MEKi) and immunotherapy (CTLA4 antibody, PD1/PDL1 antibody) (Kirkwood et al., 2016, Deepika et al., 2012). </w:t>
      </w:r>
      <w:r w:rsidRPr="006203F9">
        <w:rPr>
          <w:b/>
        </w:rPr>
        <w:t xml:space="preserve">OBJECTIVE. </w:t>
      </w:r>
      <w:r>
        <w:t xml:space="preserve">This study examines whether </w:t>
      </w:r>
      <w:r w:rsidR="008D485C">
        <w:t xml:space="preserve">the </w:t>
      </w:r>
      <w:r>
        <w:t xml:space="preserve">serum </w:t>
      </w:r>
      <w:r w:rsidR="008D485C">
        <w:t>lactate dehydrogenase</w:t>
      </w:r>
      <w:r w:rsidR="005D1E8A">
        <w:t xml:space="preserve"> level</w:t>
      </w:r>
      <w:r>
        <w:t xml:space="preserve">, </w:t>
      </w:r>
      <w:r w:rsidR="008D485C">
        <w:t>metastatsis</w:t>
      </w:r>
      <w:r>
        <w:t xml:space="preserve">-stage, number of lesions, treatment line and age can be used as prognostic factors in metastatic melanoma patients on immunotherapy (IO) and targeted therapy (TT). </w:t>
      </w:r>
      <w:r w:rsidRPr="006203F9">
        <w:rPr>
          <w:b/>
        </w:rPr>
        <w:t xml:space="preserve">METHODS. </w:t>
      </w:r>
      <w:r>
        <w:t xml:space="preserve">The prognosis was quantified using Kaplan-Meier survival curves for each of the five factors in TT and IO. This was done using two time variables; time on treatment, as well as overall survival. </w:t>
      </w:r>
      <w:r w:rsidRPr="006203F9">
        <w:rPr>
          <w:b/>
        </w:rPr>
        <w:t xml:space="preserve">RESULTS. </w:t>
      </w:r>
      <w:r w:rsidR="005D1E8A">
        <w:t xml:space="preserve">The results for </w:t>
      </w:r>
      <w:r w:rsidR="008D485C">
        <w:t>TT</w:t>
      </w:r>
      <w:r w:rsidR="005D1E8A">
        <w:t xml:space="preserve"> show no significant correlation between either time on treatment or overall survival with regards to the five factors. One exception is the significant correlation between age and overall survival, indicating that the older patients (&gt;60 years old) have lower overall survival compared to younger patients (=&lt;60 years old). Similar</w:t>
      </w:r>
      <w:r w:rsidR="008D485C">
        <w:t>l</w:t>
      </w:r>
      <w:r w:rsidR="005D1E8A">
        <w:t xml:space="preserve">y, for patients on </w:t>
      </w:r>
      <w:r w:rsidR="008D485C">
        <w:t>IO</w:t>
      </w:r>
      <w:r w:rsidR="005D1E8A">
        <w:t xml:space="preserve">, there is a significant correlation between age and time on treatment, as well as a correlation between m-stage and overall survival. </w:t>
      </w:r>
      <w:r w:rsidR="005D1E8A">
        <w:rPr>
          <w:b/>
        </w:rPr>
        <w:t>DISCUSSION</w:t>
      </w:r>
      <w:r w:rsidRPr="006203F9">
        <w:rPr>
          <w:b/>
        </w:rPr>
        <w:t>.</w:t>
      </w:r>
      <w:r w:rsidR="008D485C">
        <w:rPr>
          <w:b/>
        </w:rPr>
        <w:t xml:space="preserve"> </w:t>
      </w:r>
      <w:r w:rsidR="008D485C">
        <w:t>The correlation between age and overall survival is supported by additional studies that have shown a trend for lower overall survival for older populations on TT (Betof et al., 2017). Furthermore,</w:t>
      </w:r>
      <w:r w:rsidR="005D1E8A">
        <w:t xml:space="preserve"> </w:t>
      </w:r>
      <w:r w:rsidR="008D485C">
        <w:t xml:space="preserve">the </w:t>
      </w:r>
      <w:r w:rsidR="005D1E8A">
        <w:t>results in this study are likely affected by chance due to the small sample size (n=</w:t>
      </w:r>
      <w:r w:rsidR="008D485C">
        <w:t>25). Therefore, even though they indicate</w:t>
      </w:r>
      <w:r w:rsidR="005D1E8A">
        <w:t xml:space="preserve"> age as a prognostic factor for time on treatment and overall survival, further investigation</w:t>
      </w:r>
      <w:r w:rsidR="008D485C">
        <w:t>s</w:t>
      </w:r>
      <w:r w:rsidR="005D1E8A">
        <w:t xml:space="preserve"> will clarify the potential correlation between the other four factors and </w:t>
      </w:r>
      <w:r w:rsidR="008D485C">
        <w:t>time variables</w:t>
      </w:r>
      <w:r w:rsidR="005D1E8A">
        <w:t>.</w:t>
      </w:r>
    </w:p>
    <w:sectPr w:rsidR="00CE394A" w:rsidRPr="005D1E8A" w:rsidSect="009A0FE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3F9"/>
    <w:rsid w:val="000677D6"/>
    <w:rsid w:val="00312668"/>
    <w:rsid w:val="005D1E8A"/>
    <w:rsid w:val="006203F9"/>
    <w:rsid w:val="008D485C"/>
    <w:rsid w:val="009A0FEE"/>
    <w:rsid w:val="00CE3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A7855B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351</Words>
  <Characters>2005</Characters>
  <Application>Microsoft Macintosh Word</Application>
  <DocSecurity>0</DocSecurity>
  <Lines>16</Lines>
  <Paragraphs>4</Paragraphs>
  <ScaleCrop>false</ScaleCrop>
  <Company>Sheidaddy</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Sheida Naderi-Azad</dc:creator>
  <cp:keywords/>
  <dc:description/>
  <cp:lastModifiedBy>Sheida Naderi-Azad</cp:lastModifiedBy>
  <cp:revision>5</cp:revision>
  <dcterms:created xsi:type="dcterms:W3CDTF">2018-11-24T01:14:00Z</dcterms:created>
  <dcterms:modified xsi:type="dcterms:W3CDTF">2019-03-17T00:47:00Z</dcterms:modified>
</cp:coreProperties>
</file>