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spacing w:before="170" w:lineRule="auto"/>
        <w:ind w:left="0" w:firstLine="0"/>
        <w:rPr>
          <w:rFonts w:ascii="Cambria" w:cs="Cambria" w:eastAsia="Cambria" w:hAnsi="Cambria"/>
          <w:sz w:val="28"/>
          <w:szCs w:val="28"/>
        </w:rPr>
      </w:pPr>
      <w:bookmarkStart w:colFirst="0" w:colLast="0" w:name="_gjdgxs" w:id="0"/>
      <w:bookmarkEnd w:id="0"/>
      <w:r w:rsidDel="00000000" w:rsidR="00000000" w:rsidRPr="00000000">
        <w:rPr>
          <w:rFonts w:ascii="Cambria" w:cs="Cambria" w:eastAsia="Cambria" w:hAnsi="Cambria"/>
          <w:color w:val="337ab7"/>
          <w:sz w:val="28"/>
          <w:szCs w:val="28"/>
          <w:rtl w:val="0"/>
        </w:rPr>
        <w:t xml:space="preserve">The Foundations of Robosociology: Values and The Aggregate Behaviors of Synthetic Intelligences</w:t>
      </w:r>
      <w:r w:rsidDel="00000000" w:rsidR="00000000" w:rsidRPr="00000000">
        <w:rPr>
          <w:rtl w:val="0"/>
        </w:rPr>
      </w:r>
    </w:p>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73" w:line="198" w:lineRule="auto"/>
        <w:ind w:left="0" w:right="5987" w:firstLine="0"/>
        <w:jc w:val="left"/>
        <w:rPr>
          <w:rFonts w:ascii="Cambria" w:cs="Cambria" w:eastAsia="Cambria" w:hAnsi="Cambria"/>
          <w:i w:val="0"/>
          <w:smallCaps w:val="0"/>
          <w:strike w:val="0"/>
          <w:color w:val="000000"/>
          <w:sz w:val="28"/>
          <w:szCs w:val="28"/>
          <w:u w:val="none"/>
          <w:shd w:fill="auto" w:val="clear"/>
          <w:vertAlign w:val="baseline"/>
        </w:rPr>
      </w:pPr>
      <w:r w:rsidDel="00000000" w:rsidR="00000000" w:rsidRPr="00000000">
        <w:rPr>
          <w:rFonts w:ascii="Cambria" w:cs="Cambria" w:eastAsia="Cambria" w:hAnsi="Cambria"/>
          <w:sz w:val="28"/>
          <w:szCs w:val="28"/>
          <w:rtl w:val="0"/>
        </w:rPr>
        <w:t xml:space="preserve">Adam Alonzi, Interdisciplinary Analyst at  EthicsNet</w:t>
      </w:r>
      <w:r w:rsidDel="00000000" w:rsidR="00000000" w:rsidRPr="00000000">
        <w:rPr>
          <w:rtl w:val="0"/>
        </w:rPr>
      </w:r>
    </w:p>
    <w:p w:rsidR="00000000" w:rsidDel="00000000" w:rsidP="00000000" w:rsidRDefault="00000000" w:rsidRPr="00000000" w14:paraId="00000003">
      <w:pPr>
        <w:rPr>
          <w:rFonts w:ascii="Cambria" w:cs="Cambria" w:eastAsia="Cambria" w:hAnsi="Cambria"/>
          <w:sz w:val="28"/>
          <w:szCs w:val="28"/>
        </w:rPr>
        <w:sectPr>
          <w:headerReference r:id="rId6" w:type="default"/>
          <w:footerReference r:id="rId7" w:type="default"/>
          <w:pgSz w:h="16840" w:w="11910"/>
          <w:pgMar w:bottom="840" w:top="1740" w:left="620" w:right="600" w:header="541" w:footer="642"/>
          <w:pgNumType w:start="1"/>
          <w:cols w:equalWidth="0"/>
        </w:sectPr>
      </w:pPr>
      <w:r w:rsidDel="00000000" w:rsidR="00000000" w:rsidRPr="00000000">
        <w:rPr>
          <w:rtl w:val="0"/>
        </w:rPr>
      </w:r>
    </w:p>
    <w:p w:rsidR="00000000" w:rsidDel="00000000" w:rsidP="00000000" w:rsidRDefault="00000000" w:rsidRPr="00000000" w14:paraId="00000004">
      <w:pPr>
        <w:pStyle w:val="Heading3"/>
        <w:spacing w:before="147" w:lineRule="auto"/>
        <w:ind w:left="0" w:firstLine="0"/>
        <w:jc w:val="both"/>
        <w:rPr>
          <w:rFonts w:ascii="Cambria" w:cs="Cambria" w:eastAsia="Cambria" w:hAnsi="Cambria"/>
          <w:color w:val="bf5a14"/>
          <w:sz w:val="28"/>
          <w:szCs w:val="28"/>
        </w:rPr>
      </w:pPr>
      <w:r w:rsidDel="00000000" w:rsidR="00000000" w:rsidRPr="00000000">
        <w:rPr>
          <w:rFonts w:ascii="Cambria" w:cs="Cambria" w:eastAsia="Cambria" w:hAnsi="Cambria"/>
          <w:color w:val="bf5a14"/>
          <w:sz w:val="28"/>
          <w:szCs w:val="28"/>
          <w:rtl w:val="0"/>
        </w:rPr>
        <w:t xml:space="preserve">    Abstract (300 word limit)</w:t>
      </w:r>
    </w:p>
    <w:p w:rsidR="00000000" w:rsidDel="00000000" w:rsidP="00000000" w:rsidRDefault="00000000" w:rsidRPr="00000000" w14:paraId="00000005">
      <w:pPr>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006">
      <w:pPr>
        <w:widowControl w:val="1"/>
        <w:pBdr>
          <w:top w:color="000000" w:space="0" w:sz="0" w:val="none"/>
          <w:bottom w:color="000000" w:space="0" w:sz="0" w:val="none"/>
          <w:right w:color="000000" w:space="0" w:sz="0" w:val="none"/>
          <w:between w:color="000000" w:space="0" w:sz="0" w:val="none"/>
        </w:pBdr>
        <w:spacing w:line="360" w:lineRule="auto"/>
        <w:rPr>
          <w:rFonts w:ascii="Cambria" w:cs="Cambria" w:eastAsia="Cambria" w:hAnsi="Cambria"/>
          <w:sz w:val="28"/>
          <w:szCs w:val="28"/>
        </w:rPr>
      </w:pPr>
      <w:r w:rsidDel="00000000" w:rsidR="00000000" w:rsidRPr="00000000">
        <w:rPr>
          <w:rFonts w:ascii="Cambria" w:cs="Cambria" w:eastAsia="Cambria" w:hAnsi="Cambria"/>
          <w:sz w:val="28"/>
          <w:szCs w:val="28"/>
          <w:rtl w:val="0"/>
        </w:rPr>
        <w:t xml:space="preserve">Outcomes on the macro level often cannot be accurately extrapolated from the microbehaviors of individual agents. The interdependence of complex system’s components makes simulation a viable option for exploring cause and effect relationships within it (Miller and Page, 2009). Chaos theory emphasizes the sensitivity of such networks to starting conditions (</w:t>
      </w:r>
      <w:r w:rsidDel="00000000" w:rsidR="00000000" w:rsidRPr="00000000">
        <w:rPr>
          <w:rFonts w:ascii="Cambria" w:cs="Cambria" w:eastAsia="Cambria" w:hAnsi="Cambria"/>
          <w:color w:val="222222"/>
          <w:sz w:val="28"/>
          <w:szCs w:val="28"/>
          <w:highlight w:val="white"/>
          <w:rtl w:val="0"/>
        </w:rPr>
        <w:t xml:space="preserve">Boccaletti, 2000</w:t>
      </w:r>
      <w:r w:rsidDel="00000000" w:rsidR="00000000" w:rsidRPr="00000000">
        <w:rPr>
          <w:rFonts w:ascii="Cambria" w:cs="Cambria" w:eastAsia="Cambria" w:hAnsi="Cambria"/>
          <w:sz w:val="28"/>
          <w:szCs w:val="28"/>
          <w:rtl w:val="0"/>
        </w:rPr>
        <w:t xml:space="preserve">), which strongly suggests thought should be put into the architecture of an AGI “society” before it begins to take shape. Protocols for emergency interventions should certainly be in place, but the network itself should be robust enough from the beginning  to handle sudden deviations from basic ethical precepts by one or more of its members. </w:t>
      </w:r>
    </w:p>
    <w:p w:rsidR="00000000" w:rsidDel="00000000" w:rsidP="00000000" w:rsidRDefault="00000000" w:rsidRPr="00000000" w14:paraId="00000007">
      <w:pPr>
        <w:widowControl w:val="1"/>
        <w:spacing w:line="360" w:lineRule="auto"/>
        <w:rPr>
          <w:rFonts w:ascii="Cambria" w:cs="Cambria" w:eastAsia="Cambria" w:hAnsi="Cambria"/>
          <w:color w:val="bf5a14"/>
          <w:sz w:val="28"/>
          <w:szCs w:val="28"/>
        </w:rPr>
      </w:pPr>
      <w:r w:rsidDel="00000000" w:rsidR="00000000" w:rsidRPr="00000000">
        <w:rPr>
          <w:rFonts w:ascii="Cambria" w:cs="Cambria" w:eastAsia="Cambria" w:hAnsi="Cambria"/>
          <w:sz w:val="28"/>
          <w:szCs w:val="28"/>
          <w:rtl w:val="0"/>
        </w:rPr>
        <w:t xml:space="preserve"> Outside of its context, and without any information about the parts to which it is connected, a cell or leaf or animal  can be studied, but not understood in a meaningful way (Mitchell, 2009). Creating moral agents in a hyperconnected world will involve modeling their interactions with entities like and unlike themselves in the face of both predictable and unforeseen events. This will be helpful as groups can behave differently than their individual parts (</w:t>
      </w:r>
      <w:r w:rsidDel="00000000" w:rsidR="00000000" w:rsidRPr="00000000">
        <w:rPr>
          <w:rFonts w:ascii="Cambria" w:cs="Cambria" w:eastAsia="Cambria" w:hAnsi="Cambria"/>
          <w:color w:val="222222"/>
          <w:sz w:val="28"/>
          <w:szCs w:val="28"/>
          <w:highlight w:val="white"/>
          <w:rtl w:val="0"/>
        </w:rPr>
        <w:t xml:space="preserve">Schelling, 1969</w:t>
      </w:r>
      <w:r w:rsidDel="00000000" w:rsidR="00000000" w:rsidRPr="00000000">
        <w:rPr>
          <w:rFonts w:ascii="Cambria" w:cs="Cambria" w:eastAsia="Cambria" w:hAnsi="Cambria"/>
          <w:sz w:val="28"/>
          <w:szCs w:val="28"/>
          <w:rtl w:val="0"/>
        </w:rPr>
        <w:t xml:space="preserve">) Keeping AI friendly does not end with giving each AI a set of maxims before letting them loose, but satisfactorily explicating upon the emergent phenomena that arise from the interactions of similarly or differently “educated” machines. Because of the near certainty that synthetic intelligences will communicate rapidly and regularly, it is imperative that thought leaders in AI safety begin thinking about how </w:t>
      </w:r>
      <w:r w:rsidDel="00000000" w:rsidR="00000000" w:rsidRPr="00000000">
        <w:rPr>
          <w:rFonts w:ascii="Cambria" w:cs="Cambria" w:eastAsia="Cambria" w:hAnsi="Cambria"/>
          <w:i w:val="1"/>
          <w:sz w:val="28"/>
          <w:szCs w:val="28"/>
          <w:rtl w:val="0"/>
        </w:rPr>
        <w:t xml:space="preserve">groups </w:t>
      </w:r>
      <w:r w:rsidDel="00000000" w:rsidR="00000000" w:rsidRPr="00000000">
        <w:rPr>
          <w:rFonts w:ascii="Cambria" w:cs="Cambria" w:eastAsia="Cambria" w:hAnsi="Cambria"/>
          <w:sz w:val="28"/>
          <w:szCs w:val="28"/>
          <w:rtl w:val="0"/>
        </w:rPr>
        <w:t xml:space="preserve">of artificially intelligent agents will behave.  </w:t>
      </w:r>
      <w:r w:rsidDel="00000000" w:rsidR="00000000" w:rsidRPr="00000000">
        <w:rPr>
          <w:rFonts w:ascii="Cambria" w:cs="Cambria" w:eastAsia="Cambria" w:hAnsi="Cambria"/>
          <w:color w:val="bf5a14"/>
          <w:sz w:val="28"/>
          <w:szCs w:val="28"/>
          <w:rtl w:val="0"/>
        </w:rPr>
        <w:t xml:space="preserve"> </w:t>
      </w:r>
    </w:p>
    <w:p w:rsidR="00000000" w:rsidDel="00000000" w:rsidP="00000000" w:rsidRDefault="00000000" w:rsidRPr="00000000" w14:paraId="00000008">
      <w:pPr>
        <w:widowControl w:val="1"/>
        <w:spacing w:line="360" w:lineRule="auto"/>
        <w:rPr>
          <w:rFonts w:ascii="Cambria" w:cs="Cambria" w:eastAsia="Cambria" w:hAnsi="Cambria"/>
          <w:color w:val="bf5a14"/>
          <w:sz w:val="28"/>
          <w:szCs w:val="28"/>
        </w:rPr>
      </w:pPr>
      <w:r w:rsidDel="00000000" w:rsidR="00000000" w:rsidRPr="00000000">
        <w:rPr>
          <w:rtl w:val="0"/>
        </w:rPr>
      </w:r>
    </w:p>
    <w:p w:rsidR="00000000" w:rsidDel="00000000" w:rsidP="00000000" w:rsidRDefault="00000000" w:rsidRPr="00000000" w14:paraId="00000009">
      <w:pPr>
        <w:widowControl w:val="1"/>
        <w:spacing w:line="360" w:lineRule="auto"/>
        <w:rPr>
          <w:rFonts w:ascii="Cambria" w:cs="Cambria" w:eastAsia="Cambria" w:hAnsi="Cambria"/>
          <w:color w:val="bf5a14"/>
          <w:sz w:val="28"/>
          <w:szCs w:val="28"/>
        </w:rPr>
      </w:pPr>
      <w:r w:rsidDel="00000000" w:rsidR="00000000" w:rsidRPr="00000000">
        <w:rPr>
          <w:rtl w:val="0"/>
        </w:rPr>
      </w:r>
    </w:p>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Cambria" w:cs="Cambria" w:eastAsia="Cambria" w:hAnsi="Cambria"/>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B">
      <w:pPr>
        <w:spacing w:line="204" w:lineRule="auto"/>
        <w:rPr>
          <w:rFonts w:ascii="Cambria" w:cs="Cambria" w:eastAsia="Cambria" w:hAnsi="Cambria"/>
          <w:b w:val="1"/>
          <w:sz w:val="28"/>
          <w:szCs w:val="28"/>
        </w:rPr>
      </w:pPr>
      <w:r w:rsidDel="00000000" w:rsidR="00000000" w:rsidRPr="00000000">
        <w:rPr>
          <w:rFonts w:ascii="Cambria" w:cs="Cambria" w:eastAsia="Cambria" w:hAnsi="Cambria"/>
          <w:b w:val="1"/>
          <w:color w:val="bf5a14"/>
          <w:sz w:val="28"/>
          <w:szCs w:val="28"/>
          <w:rtl w:val="0"/>
        </w:rPr>
        <w:br w:type="textWrapping"/>
        <w:t xml:space="preserve">Recent Publications (minimum 5)</w:t>
      </w:r>
      <w:r w:rsidDel="00000000" w:rsidR="00000000" w:rsidRPr="00000000">
        <w:rPr>
          <w:rtl w:val="0"/>
        </w:rPr>
      </w:r>
    </w:p>
    <w:p w:rsidR="00000000" w:rsidDel="00000000" w:rsidP="00000000" w:rsidRDefault="00000000" w:rsidRPr="00000000" w14:paraId="0000000C">
      <w:pPr>
        <w:widowControl w:val="1"/>
        <w:numPr>
          <w:ilvl w:val="0"/>
          <w:numId w:val="1"/>
        </w:numPr>
        <w:spacing w:line="360" w:lineRule="auto"/>
        <w:ind w:left="383" w:hanging="284"/>
        <w:rPr>
          <w:rFonts w:ascii="Cambria" w:cs="Cambria" w:eastAsia="Cambria" w:hAnsi="Cambria"/>
          <w:sz w:val="28"/>
          <w:szCs w:val="28"/>
        </w:rPr>
      </w:pPr>
      <w:r w:rsidDel="00000000" w:rsidR="00000000" w:rsidRPr="00000000">
        <w:rPr>
          <w:rFonts w:ascii="Cambria" w:cs="Cambria" w:eastAsia="Cambria" w:hAnsi="Cambria"/>
          <w:color w:val="222222"/>
          <w:sz w:val="28"/>
          <w:szCs w:val="28"/>
          <w:highlight w:val="white"/>
          <w:rtl w:val="0"/>
        </w:rPr>
        <w:t xml:space="preserve">Boccaletti, Stefanos, et al. "The control of chaos: theory and applications." </w:t>
      </w:r>
      <w:r w:rsidDel="00000000" w:rsidR="00000000" w:rsidRPr="00000000">
        <w:rPr>
          <w:rFonts w:ascii="Cambria" w:cs="Cambria" w:eastAsia="Cambria" w:hAnsi="Cambria"/>
          <w:i w:val="1"/>
          <w:color w:val="222222"/>
          <w:sz w:val="28"/>
          <w:szCs w:val="28"/>
          <w:highlight w:val="white"/>
          <w:rtl w:val="0"/>
        </w:rPr>
        <w:t xml:space="preserve">Physics reports</w:t>
      </w:r>
      <w:r w:rsidDel="00000000" w:rsidR="00000000" w:rsidRPr="00000000">
        <w:rPr>
          <w:rFonts w:ascii="Cambria" w:cs="Cambria" w:eastAsia="Cambria" w:hAnsi="Cambria"/>
          <w:color w:val="222222"/>
          <w:sz w:val="28"/>
          <w:szCs w:val="28"/>
          <w:highlight w:val="white"/>
          <w:rtl w:val="0"/>
        </w:rPr>
        <w:t xml:space="preserve"> 329.3 (2000): 103-197.</w:t>
      </w:r>
    </w:p>
    <w:p w:rsidR="00000000" w:rsidDel="00000000" w:rsidP="00000000" w:rsidRDefault="00000000" w:rsidRPr="00000000" w14:paraId="0000000D">
      <w:pPr>
        <w:widowControl w:val="1"/>
        <w:numPr>
          <w:ilvl w:val="0"/>
          <w:numId w:val="1"/>
        </w:numPr>
        <w:spacing w:line="360" w:lineRule="auto"/>
        <w:ind w:left="383" w:hanging="284"/>
        <w:rPr>
          <w:rFonts w:ascii="Cambria" w:cs="Cambria" w:eastAsia="Cambria" w:hAnsi="Cambria"/>
          <w:sz w:val="28"/>
          <w:szCs w:val="28"/>
        </w:rPr>
      </w:pPr>
      <w:r w:rsidDel="00000000" w:rsidR="00000000" w:rsidRPr="00000000">
        <w:rPr>
          <w:rFonts w:ascii="Cambria" w:cs="Cambria" w:eastAsia="Cambria" w:hAnsi="Cambria"/>
          <w:color w:val="222222"/>
          <w:sz w:val="28"/>
          <w:szCs w:val="28"/>
          <w:highlight w:val="white"/>
          <w:rtl w:val="0"/>
        </w:rPr>
        <w:t xml:space="preserve">Miller, John H., and Scott E. Page. </w:t>
      </w:r>
      <w:r w:rsidDel="00000000" w:rsidR="00000000" w:rsidRPr="00000000">
        <w:rPr>
          <w:rFonts w:ascii="Cambria" w:cs="Cambria" w:eastAsia="Cambria" w:hAnsi="Cambria"/>
          <w:i w:val="1"/>
          <w:color w:val="222222"/>
          <w:sz w:val="28"/>
          <w:szCs w:val="28"/>
          <w:highlight w:val="white"/>
          <w:rtl w:val="0"/>
        </w:rPr>
        <w:t xml:space="preserve">Complex adaptive systems: an introduction to computational models of social life: an introduction to computational models of social life</w:t>
      </w:r>
      <w:r w:rsidDel="00000000" w:rsidR="00000000" w:rsidRPr="00000000">
        <w:rPr>
          <w:rFonts w:ascii="Cambria" w:cs="Cambria" w:eastAsia="Cambria" w:hAnsi="Cambria"/>
          <w:color w:val="222222"/>
          <w:sz w:val="28"/>
          <w:szCs w:val="28"/>
          <w:highlight w:val="white"/>
          <w:rtl w:val="0"/>
        </w:rPr>
        <w:t xml:space="preserve">. Princeton university press, 2009.</w:t>
      </w:r>
    </w:p>
    <w:p w:rsidR="00000000" w:rsidDel="00000000" w:rsidP="00000000" w:rsidRDefault="00000000" w:rsidRPr="00000000" w14:paraId="0000000E">
      <w:pPr>
        <w:widowControl w:val="1"/>
        <w:numPr>
          <w:ilvl w:val="0"/>
          <w:numId w:val="1"/>
        </w:numPr>
        <w:spacing w:line="360" w:lineRule="auto"/>
        <w:ind w:left="383" w:hanging="284"/>
        <w:rPr>
          <w:rFonts w:ascii="Cambria" w:cs="Cambria" w:eastAsia="Cambria" w:hAnsi="Cambria"/>
          <w:sz w:val="28"/>
          <w:szCs w:val="28"/>
        </w:rPr>
      </w:pPr>
      <w:r w:rsidDel="00000000" w:rsidR="00000000" w:rsidRPr="00000000">
        <w:rPr>
          <w:rFonts w:ascii="Cambria" w:cs="Cambria" w:eastAsia="Cambria" w:hAnsi="Cambria"/>
          <w:color w:val="222222"/>
          <w:sz w:val="28"/>
          <w:szCs w:val="28"/>
          <w:highlight w:val="white"/>
          <w:rtl w:val="0"/>
        </w:rPr>
        <w:t xml:space="preserve">Page, Scott E. </w:t>
      </w:r>
      <w:r w:rsidDel="00000000" w:rsidR="00000000" w:rsidRPr="00000000">
        <w:rPr>
          <w:rFonts w:ascii="Cambria" w:cs="Cambria" w:eastAsia="Cambria" w:hAnsi="Cambria"/>
          <w:i w:val="1"/>
          <w:color w:val="222222"/>
          <w:sz w:val="28"/>
          <w:szCs w:val="28"/>
          <w:highlight w:val="white"/>
          <w:rtl w:val="0"/>
        </w:rPr>
        <w:t xml:space="preserve">Diversity and complexity</w:t>
      </w:r>
      <w:r w:rsidDel="00000000" w:rsidR="00000000" w:rsidRPr="00000000">
        <w:rPr>
          <w:rFonts w:ascii="Cambria" w:cs="Cambria" w:eastAsia="Cambria" w:hAnsi="Cambria"/>
          <w:color w:val="222222"/>
          <w:sz w:val="28"/>
          <w:szCs w:val="28"/>
          <w:highlight w:val="white"/>
          <w:rtl w:val="0"/>
        </w:rPr>
        <w:t xml:space="preserve">. Princeton University Press, 2010.</w:t>
      </w:r>
      <w:r w:rsidDel="00000000" w:rsidR="00000000" w:rsidRPr="00000000">
        <w:rPr>
          <w:rtl w:val="0"/>
        </w:rPr>
      </w:r>
    </w:p>
    <w:p w:rsidR="00000000" w:rsidDel="00000000" w:rsidP="00000000" w:rsidRDefault="00000000" w:rsidRPr="00000000" w14:paraId="0000000F">
      <w:pPr>
        <w:widowControl w:val="1"/>
        <w:numPr>
          <w:ilvl w:val="0"/>
          <w:numId w:val="1"/>
        </w:numPr>
        <w:spacing w:line="360" w:lineRule="auto"/>
        <w:ind w:left="383" w:hanging="284"/>
        <w:rPr>
          <w:rFonts w:ascii="Cambria" w:cs="Cambria" w:eastAsia="Cambria" w:hAnsi="Cambria"/>
          <w:sz w:val="28"/>
          <w:szCs w:val="28"/>
        </w:rPr>
      </w:pPr>
      <w:r w:rsidDel="00000000" w:rsidR="00000000" w:rsidRPr="00000000">
        <w:rPr>
          <w:rFonts w:ascii="Cambria" w:cs="Cambria" w:eastAsia="Cambria" w:hAnsi="Cambria"/>
          <w:color w:val="222222"/>
          <w:sz w:val="28"/>
          <w:szCs w:val="28"/>
          <w:highlight w:val="white"/>
          <w:rtl w:val="0"/>
        </w:rPr>
        <w:t xml:space="preserve">Mitchell, Melanie. </w:t>
      </w:r>
      <w:r w:rsidDel="00000000" w:rsidR="00000000" w:rsidRPr="00000000">
        <w:rPr>
          <w:rFonts w:ascii="Cambria" w:cs="Cambria" w:eastAsia="Cambria" w:hAnsi="Cambria"/>
          <w:i w:val="1"/>
          <w:color w:val="222222"/>
          <w:sz w:val="28"/>
          <w:szCs w:val="28"/>
          <w:highlight w:val="white"/>
          <w:rtl w:val="0"/>
        </w:rPr>
        <w:t xml:space="preserve">Complexity: A guided tour</w:t>
      </w:r>
      <w:r w:rsidDel="00000000" w:rsidR="00000000" w:rsidRPr="00000000">
        <w:rPr>
          <w:rFonts w:ascii="Cambria" w:cs="Cambria" w:eastAsia="Cambria" w:hAnsi="Cambria"/>
          <w:color w:val="222222"/>
          <w:sz w:val="28"/>
          <w:szCs w:val="28"/>
          <w:highlight w:val="white"/>
          <w:rtl w:val="0"/>
        </w:rPr>
        <w:t xml:space="preserve">. Oxford University Press, 2009.</w:t>
      </w:r>
    </w:p>
    <w:p w:rsidR="00000000" w:rsidDel="00000000" w:rsidP="00000000" w:rsidRDefault="00000000" w:rsidRPr="00000000" w14:paraId="00000010">
      <w:pPr>
        <w:widowControl w:val="1"/>
        <w:numPr>
          <w:ilvl w:val="0"/>
          <w:numId w:val="1"/>
        </w:numPr>
        <w:spacing w:line="360" w:lineRule="auto"/>
        <w:ind w:left="383" w:hanging="284"/>
        <w:rPr>
          <w:rFonts w:ascii="Cambria" w:cs="Cambria" w:eastAsia="Cambria" w:hAnsi="Cambria"/>
          <w:sz w:val="28"/>
          <w:szCs w:val="28"/>
        </w:rPr>
      </w:pPr>
      <w:r w:rsidDel="00000000" w:rsidR="00000000" w:rsidRPr="00000000">
        <w:rPr>
          <w:rFonts w:ascii="Cambria" w:cs="Cambria" w:eastAsia="Cambria" w:hAnsi="Cambria"/>
          <w:color w:val="222222"/>
          <w:sz w:val="28"/>
          <w:szCs w:val="28"/>
          <w:highlight w:val="white"/>
          <w:rtl w:val="0"/>
        </w:rPr>
        <w:t xml:space="preserve">Schelling, Thomas C. "Models of segregation." </w:t>
      </w:r>
      <w:r w:rsidDel="00000000" w:rsidR="00000000" w:rsidRPr="00000000">
        <w:rPr>
          <w:rFonts w:ascii="Cambria" w:cs="Cambria" w:eastAsia="Cambria" w:hAnsi="Cambria"/>
          <w:i w:val="1"/>
          <w:color w:val="222222"/>
          <w:sz w:val="28"/>
          <w:szCs w:val="28"/>
          <w:highlight w:val="white"/>
          <w:rtl w:val="0"/>
        </w:rPr>
        <w:t xml:space="preserve">The American Economic Review</w:t>
      </w:r>
      <w:r w:rsidDel="00000000" w:rsidR="00000000" w:rsidRPr="00000000">
        <w:rPr>
          <w:rFonts w:ascii="Cambria" w:cs="Cambria" w:eastAsia="Cambria" w:hAnsi="Cambria"/>
          <w:color w:val="222222"/>
          <w:sz w:val="28"/>
          <w:szCs w:val="28"/>
          <w:highlight w:val="white"/>
          <w:rtl w:val="0"/>
        </w:rPr>
        <w:t xml:space="preserve"> 59.2 (1969): 488-493.</w:t>
      </w:r>
      <w:r w:rsidDel="00000000" w:rsidR="00000000" w:rsidRPr="00000000">
        <w:rPr>
          <w:rtl w:val="0"/>
        </w:rPr>
      </w:r>
    </w:p>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tabs>
          <w:tab w:val="left" w:pos="384"/>
        </w:tabs>
        <w:spacing w:after="0" w:before="92" w:line="218" w:lineRule="auto"/>
        <w:ind w:left="383" w:right="0" w:firstLine="0"/>
        <w:jc w:val="both"/>
        <w:rPr>
          <w:rFonts w:ascii="Cambria" w:cs="Cambria" w:eastAsia="Cambria" w:hAnsi="Cambria"/>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2">
      <w:pPr>
        <w:tabs>
          <w:tab w:val="left" w:pos="384"/>
        </w:tabs>
        <w:ind w:right="117"/>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013">
      <w:pPr>
        <w:spacing w:line="200" w:lineRule="auto"/>
        <w:jc w:val="both"/>
        <w:rPr>
          <w:rFonts w:ascii="Cambria" w:cs="Cambria" w:eastAsia="Cambria" w:hAnsi="Cambria"/>
          <w:sz w:val="28"/>
          <w:szCs w:val="28"/>
        </w:rPr>
        <w:sectPr>
          <w:type w:val="continuous"/>
          <w:pgSz w:h="16840" w:w="11910"/>
          <w:pgMar w:bottom="840" w:top="1740" w:left="620" w:right="600" w:header="720" w:footer="720"/>
          <w:cols w:equalWidth="0" w:num="2">
            <w:col w:space="138" w:w="5276"/>
            <w:col w:space="0" w:w="5276"/>
          </w:cols>
        </w:sectPr>
      </w:pPr>
      <w:r w:rsidDel="00000000" w:rsidR="00000000" w:rsidRPr="00000000">
        <w:rPr>
          <w:rFonts w:ascii="Cambria" w:cs="Cambria" w:eastAsia="Cambria" w:hAnsi="Cambria"/>
          <w:sz w:val="28"/>
          <w:szCs w:val="28"/>
          <w:rtl w:val="0"/>
        </w:rPr>
        <w:t xml:space="preserve">   </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40" w:lineRule="auto"/>
        <w:ind w:left="2202" w:right="0" w:firstLine="0"/>
        <w:jc w:val="left"/>
        <w:rPr>
          <w:rFonts w:ascii="Cambria" w:cs="Cambria" w:eastAsia="Cambria" w:hAnsi="Cambria"/>
          <w:i w:val="0"/>
          <w:smallCaps w:val="0"/>
          <w:strike w:val="0"/>
          <w:color w:val="000000"/>
          <w:sz w:val="28"/>
          <w:szCs w:val="28"/>
          <w:u w:val="none"/>
          <w:shd w:fill="auto" w:val="clear"/>
          <w:vertAlign w:val="baseline"/>
        </w:rPr>
      </w:pPr>
      <w:r w:rsidDel="00000000" w:rsidR="00000000" w:rsidRPr="00000000">
        <w:rPr>
          <w:rFonts w:ascii="Cambria" w:cs="Cambria" w:eastAsia="Cambria" w:hAnsi="Cambria"/>
          <w:i w:val="0"/>
          <w:smallCaps w:val="0"/>
          <w:strike w:val="0"/>
          <w:color w:val="000000"/>
          <w:sz w:val="28"/>
          <w:szCs w:val="28"/>
          <w:u w:val="none"/>
          <w:shd w:fill="auto" w:val="clear"/>
          <w:vertAlign w:val="baseline"/>
        </w:rPr>
        <mc:AlternateContent>
          <mc:Choice Requires="wpg">
            <w:drawing>
              <wp:inline distB="0" distT="0" distL="0" distR="0">
                <wp:extent cx="3975735" cy="25400"/>
                <wp:effectExtent b="0" l="0" r="0" t="0"/>
                <wp:docPr id="3" name=""/>
                <a:graphic>
                  <a:graphicData uri="http://schemas.microsoft.com/office/word/2010/wordprocessingGroup">
                    <wpg:wgp>
                      <wpg:cNvGrpSpPr/>
                      <wpg:grpSpPr>
                        <a:xfrm>
                          <a:off x="3358133" y="3767300"/>
                          <a:ext cx="3975735" cy="25400"/>
                          <a:chOff x="3358133" y="3767300"/>
                          <a:chExt cx="3968750" cy="15875"/>
                        </a:xfrm>
                      </wpg:grpSpPr>
                      <wpg:grpSp>
                        <wpg:cNvGrpSpPr/>
                        <wpg:grpSpPr>
                          <a:xfrm>
                            <a:off x="3358133" y="3767300"/>
                            <a:ext cx="3968750" cy="15875"/>
                            <a:chOff x="0" y="0"/>
                            <a:chExt cx="6250" cy="25"/>
                          </a:xfrm>
                        </wpg:grpSpPr>
                        <wps:wsp>
                          <wps:cNvSpPr/>
                          <wps:cNvPr id="5" name="Shape 5"/>
                          <wps:spPr>
                            <a:xfrm>
                              <a:off x="0" y="0"/>
                              <a:ext cx="6250" cy="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20" y="20"/>
                              <a:ext cx="6221" cy="0"/>
                            </a:xfrm>
                            <a:prstGeom prst="straightConnector1">
                              <a:avLst/>
                            </a:prstGeom>
                            <a:noFill/>
                            <a:ln cap="flat" cmpd="sng" w="25400">
                              <a:solidFill>
                                <a:srgbClr val="004080"/>
                              </a:solidFill>
                              <a:prstDash val="solid"/>
                              <a:round/>
                              <a:headEnd len="med" w="med" type="none"/>
                              <a:tailEnd len="med" w="med"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3975735" cy="25400"/>
                <wp:effectExtent b="0" l="0" r="0" t="0"/>
                <wp:docPr id="3"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3975735" cy="254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16">
      <w:pPr>
        <w:spacing w:before="92" w:lineRule="auto"/>
        <w:ind w:right="4234"/>
        <w:rPr>
          <w:rFonts w:ascii="Cambria" w:cs="Cambria" w:eastAsia="Cambria" w:hAnsi="Cambria"/>
          <w:color w:val="bf5a14"/>
          <w:sz w:val="28"/>
          <w:szCs w:val="28"/>
        </w:rPr>
      </w:pPr>
      <w:r w:rsidDel="00000000" w:rsidR="00000000" w:rsidRPr="00000000">
        <w:rPr>
          <w:rFonts w:ascii="Cambria" w:cs="Cambria" w:eastAsia="Cambria" w:hAnsi="Cambria"/>
          <w:sz w:val="28"/>
          <w:szCs w:val="28"/>
          <w:rtl w:val="0"/>
        </w:rPr>
        <w:t xml:space="preserve">              </w:t>
      </w:r>
      <w:r w:rsidDel="00000000" w:rsidR="00000000" w:rsidRPr="00000000">
        <w:rPr>
          <w:rFonts w:ascii="Cambria" w:cs="Cambria" w:eastAsia="Cambria" w:hAnsi="Cambria"/>
          <w:sz w:val="28"/>
          <w:szCs w:val="28"/>
        </w:rPr>
        <w:drawing>
          <wp:inline distB="0" distT="0" distL="0" distR="0">
            <wp:extent cx="630069" cy="625069"/>
            <wp:effectExtent b="0" l="0" r="0" t="0"/>
            <wp:docPr descr="dummy" id="5" name="image5.jpg"/>
            <a:graphic>
              <a:graphicData uri="http://schemas.openxmlformats.org/drawingml/2006/picture">
                <pic:pic>
                  <pic:nvPicPr>
                    <pic:cNvPr descr="dummy" id="0" name="image5.jpg"/>
                    <pic:cNvPicPr preferRelativeResize="0"/>
                  </pic:nvPicPr>
                  <pic:blipFill>
                    <a:blip r:embed="rId9"/>
                    <a:srcRect b="0" l="0" r="0" t="0"/>
                    <a:stretch>
                      <a:fillRect/>
                    </a:stretch>
                  </pic:blipFill>
                  <pic:spPr>
                    <a:xfrm>
                      <a:off x="0" y="0"/>
                      <a:ext cx="630069" cy="625069"/>
                    </a:xfrm>
                    <a:prstGeom prst="rect"/>
                    <a:ln/>
                  </pic:spPr>
                </pic:pic>
              </a:graphicData>
            </a:graphic>
          </wp:inline>
        </w:drawing>
      </w:r>
      <w:r w:rsidDel="00000000" w:rsidR="00000000" w:rsidRPr="00000000">
        <w:rPr>
          <w:rFonts w:ascii="Cambria" w:cs="Cambria" w:eastAsia="Cambria" w:hAnsi="Cambria"/>
          <w:color w:val="bf5a14"/>
          <w:sz w:val="28"/>
          <w:szCs w:val="28"/>
          <w:rtl w:val="0"/>
        </w:rPr>
        <w:t xml:space="preserve">Biography (150 word limit)</w:t>
      </w:r>
    </w:p>
    <w:p w:rsidR="00000000" w:rsidDel="00000000" w:rsidP="00000000" w:rsidRDefault="00000000" w:rsidRPr="00000000" w14:paraId="00000017">
      <w:pPr>
        <w:spacing w:before="92" w:lineRule="auto"/>
        <w:ind w:right="4234"/>
        <w:rPr>
          <w:rFonts w:ascii="Cambria" w:cs="Cambria" w:eastAsia="Cambria" w:hAnsi="Cambria"/>
          <w:color w:val="bf5a14"/>
          <w:sz w:val="28"/>
          <w:szCs w:val="28"/>
        </w:rPr>
      </w:pPr>
      <w:r w:rsidDel="00000000" w:rsidR="00000000" w:rsidRPr="00000000">
        <w:rPr>
          <w:rtl w:val="0"/>
        </w:rPr>
      </w:r>
    </w:p>
    <w:p w:rsidR="00000000" w:rsidDel="00000000" w:rsidP="00000000" w:rsidRDefault="00000000" w:rsidRPr="00000000" w14:paraId="00000018">
      <w:pPr>
        <w:spacing w:before="41" w:line="154.00000000000003" w:lineRule="auto"/>
        <w:ind w:left="213" w:right="231" w:firstLine="0"/>
        <w:jc w:val="both"/>
        <w:rPr>
          <w:rFonts w:ascii="Cambria" w:cs="Cambria" w:eastAsia="Cambria" w:hAnsi="Cambria"/>
          <w:sz w:val="28"/>
          <w:szCs w:val="28"/>
        </w:rPr>
      </w:pPr>
      <w:r w:rsidDel="00000000" w:rsidR="00000000" w:rsidRPr="00000000">
        <w:rPr>
          <w:rFonts w:ascii="Cambria" w:cs="Cambria" w:eastAsia="Cambria" w:hAnsi="Cambria"/>
          <w:sz w:val="28"/>
          <w:szCs w:val="28"/>
          <w:rtl w:val="0"/>
        </w:rPr>
        <w:t xml:space="preserve">Adam Alonzi is a futurist, writer, biotechnologist, programmer, and documentary maker. He is an interdisciplinary analyst for EthicsNet, </w:t>
      </w:r>
      <w:r w:rsidDel="00000000" w:rsidR="00000000" w:rsidRPr="00000000">
        <w:rPr>
          <w:rFonts w:ascii="Cambria" w:cs="Cambria" w:eastAsia="Cambria" w:hAnsi="Cambria"/>
          <w:color w:val="14171a"/>
          <w:sz w:val="28"/>
          <w:szCs w:val="28"/>
          <w:rtl w:val="0"/>
        </w:rPr>
        <w:t xml:space="preserve">a nonprofit building a community with the purpose of co-creating a dataset for machine ethics algorithms. He also serves as the Head of New Media at BioViva Science, as an analyst for the Millennium Project, and as a consultant for a number of technology startups. </w:t>
      </w:r>
      <w:r w:rsidDel="00000000" w:rsidR="00000000" w:rsidRPr="00000000">
        <w:rPr>
          <w:rtl w:val="0"/>
        </w:rPr>
      </w:r>
    </w:p>
    <w:p w:rsidR="00000000" w:rsidDel="00000000" w:rsidP="00000000" w:rsidRDefault="00000000" w:rsidRPr="00000000" w14:paraId="00000019">
      <w:pPr>
        <w:spacing w:before="41" w:line="154.00000000000003" w:lineRule="auto"/>
        <w:ind w:left="213" w:right="231" w:firstLine="0"/>
        <w:jc w:val="both"/>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01A">
      <w:pPr>
        <w:spacing w:before="62" w:lineRule="auto"/>
        <w:ind w:left="4217" w:right="4235" w:firstLine="0"/>
        <w:jc w:val="center"/>
        <w:rPr>
          <w:rFonts w:ascii="Cambria" w:cs="Cambria" w:eastAsia="Cambria" w:hAnsi="Cambria"/>
          <w:sz w:val="28"/>
          <w:szCs w:val="28"/>
        </w:rPr>
      </w:pPr>
      <w:r w:rsidDel="00000000" w:rsidR="00000000" w:rsidRPr="00000000">
        <w:rPr>
          <w:rFonts w:ascii="Cambria" w:cs="Cambria" w:eastAsia="Cambria" w:hAnsi="Cambria"/>
          <w:sz w:val="28"/>
          <w:szCs w:val="28"/>
          <w:rtl w:val="0"/>
        </w:rPr>
        <w:t xml:space="preserve">Email: adam61803399@gmai.com</w:t>
      </w:r>
      <w:r w:rsidDel="00000000" w:rsidR="00000000" w:rsidRPr="00000000">
        <w:rPr>
          <w:rtl w:val="0"/>
        </w:rPr>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Cambria" w:cs="Cambria" w:eastAsia="Cambria" w:hAnsi="Cambria"/>
          <w:i w:val="0"/>
          <w:smallCaps w:val="0"/>
          <w:strike w:val="0"/>
          <w:color w:val="000000"/>
          <w:sz w:val="28"/>
          <w:szCs w:val="28"/>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1663700</wp:posOffset>
                </wp:positionH>
                <wp:positionV relativeFrom="paragraph">
                  <wp:posOffset>152400</wp:posOffset>
                </wp:positionV>
                <wp:extent cx="3442335" cy="12700"/>
                <wp:effectExtent b="0" l="0" r="0" t="0"/>
                <wp:wrapTopAndBottom distB="0" distT="0"/>
                <wp:docPr id="1" name=""/>
                <a:graphic>
                  <a:graphicData uri="http://schemas.microsoft.com/office/word/2010/wordprocessingShape">
                    <wps:wsp>
                      <wps:cNvCnPr/>
                      <wps:spPr>
                        <a:xfrm>
                          <a:off x="3624833" y="3780000"/>
                          <a:ext cx="3442335" cy="0"/>
                        </a:xfrm>
                        <a:prstGeom prst="straightConnector1">
                          <a:avLst/>
                        </a:prstGeom>
                        <a:noFill/>
                        <a:ln cap="flat" cmpd="sng" w="9525">
                          <a:solidFill>
                            <a:srgbClr val="00408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1663700</wp:posOffset>
                </wp:positionH>
                <wp:positionV relativeFrom="paragraph">
                  <wp:posOffset>152400</wp:posOffset>
                </wp:positionV>
                <wp:extent cx="3442335" cy="12700"/>
                <wp:effectExtent b="0" l="0" r="0" t="0"/>
                <wp:wrapTopAndBottom distB="0" distT="0"/>
                <wp:docPr id="1" name="image1.png"/>
                <a:graphic>
                  <a:graphicData uri="http://schemas.openxmlformats.org/drawingml/2006/picture">
                    <pic:pic>
                      <pic:nvPicPr>
                        <pic:cNvPr id="0" name="image1.png"/>
                        <pic:cNvPicPr preferRelativeResize="0"/>
                      </pic:nvPicPr>
                      <pic:blipFill>
                        <a:blip r:embed="rId10"/>
                        <a:srcRect/>
                        <a:stretch>
                          <a:fillRect/>
                        </a:stretch>
                      </pic:blipFill>
                      <pic:spPr>
                        <a:xfrm>
                          <a:off x="0" y="0"/>
                          <a:ext cx="3442335" cy="12700"/>
                        </a:xfrm>
                        <a:prstGeom prst="rect"/>
                        <a:ln/>
                      </pic:spPr>
                    </pic:pic>
                  </a:graphicData>
                </a:graphic>
              </wp:anchor>
            </w:drawing>
          </mc:Fallback>
        </mc:AlternateContent>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Cambria" w:cs="Cambria" w:eastAsia="Cambria" w:hAnsi="Cambria"/>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F">
      <w:pPr>
        <w:spacing w:before="39" w:lineRule="auto"/>
        <w:ind w:left="100" w:firstLine="0"/>
        <w:rPr>
          <w:rFonts w:ascii="Cambria" w:cs="Cambria" w:eastAsia="Cambria" w:hAnsi="Cambria"/>
          <w:b w:val="1"/>
          <w:sz w:val="28"/>
          <w:szCs w:val="28"/>
        </w:rPr>
      </w:pPr>
      <w:r w:rsidDel="00000000" w:rsidR="00000000" w:rsidRPr="00000000">
        <w:rPr>
          <w:rFonts w:ascii="Cambria" w:cs="Cambria" w:eastAsia="Cambria" w:hAnsi="Cambria"/>
          <w:b w:val="1"/>
          <w:sz w:val="28"/>
          <w:szCs w:val="28"/>
          <w:rtl w:val="0"/>
        </w:rPr>
        <w:t xml:space="preserve">Notes/Comments:</w:t>
      </w:r>
    </w:p>
    <w:p w:rsidR="00000000" w:rsidDel="00000000" w:rsidP="00000000" w:rsidRDefault="00000000" w:rsidRPr="00000000" w14:paraId="00000020">
      <w:pPr>
        <w:rPr>
          <w:rFonts w:ascii="Cambria" w:cs="Cambria" w:eastAsia="Cambria" w:hAnsi="Cambria"/>
          <w:sz w:val="28"/>
          <w:szCs w:val="28"/>
        </w:rPr>
        <w:sectPr>
          <w:type w:val="continuous"/>
          <w:pgSz w:h="16840" w:w="11910"/>
          <w:pgMar w:bottom="840" w:top="1740" w:left="620" w:right="600" w:header="720" w:footer="720"/>
          <w:cols w:equalWidth="0"/>
        </w:sectPr>
      </w:pPr>
      <w:r w:rsidDel="00000000" w:rsidR="00000000" w:rsidRPr="00000000">
        <w:rPr>
          <w:rtl w:val="0"/>
        </w:rPr>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Cambria" w:cs="Cambria" w:eastAsia="Cambria" w:hAnsi="Cambria"/>
          <w:i w:val="0"/>
          <w:smallCaps w:val="0"/>
          <w:strike w:val="0"/>
          <w:color w:val="000000"/>
          <w:sz w:val="28"/>
          <w:szCs w:val="28"/>
          <w:u w:val="none"/>
          <w:shd w:fill="auto" w:val="clear"/>
          <w:vertAlign w:val="baseline"/>
        </w:rPr>
      </w:pPr>
      <w:r w:rsidDel="00000000" w:rsidR="00000000" w:rsidRPr="00000000">
        <w:rPr>
          <w:rtl w:val="0"/>
        </w:rPr>
      </w:r>
    </w:p>
    <w:sectPr>
      <w:type w:val="continuous"/>
      <w:pgSz w:h="16840" w:w="11910"/>
      <w:pgMar w:bottom="840" w:top="1740" w:left="620" w:right="580" w:header="720" w:footer="720"/>
      <w:cols w:equalWidth="0" w:num="2">
        <w:col w:space="138" w:w="5286"/>
        <w:col w:space="0" w:w="5286"/>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ambria"/>
  <w:font w:name="Calibri"/>
  <w:font w:name="Twentieth Century"/>
  <w:font w:name="EB 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wentieth Century" w:cs="Twentieth Century" w:eastAsia="Twentieth Century" w:hAnsi="Twentieth Century"/>
        <w:b w:val="0"/>
        <w:i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wentieth Century" w:cs="Twentieth Century" w:eastAsia="Twentieth Century" w:hAnsi="Twentieth Century"/>
        <w:b w:val="0"/>
        <w:i w:val="0"/>
        <w:smallCaps w:val="0"/>
        <w:strike w:val="0"/>
        <w:color w:val="000000"/>
        <w:sz w:val="20"/>
        <w:szCs w:val="20"/>
        <w:u w:val="none"/>
        <w:shd w:fill="auto" w:val="clear"/>
        <w:vertAlign w:val="baseline"/>
      </w:rPr>
    </w:pPr>
    <w:r w:rsidDel="00000000" w:rsidR="00000000" w:rsidRPr="00000000">
      <w:rPr>
        <w:rFonts w:ascii="Twentieth Century" w:cs="Twentieth Century" w:eastAsia="Twentieth Century" w:hAnsi="Twentieth Century"/>
        <w:b w:val="0"/>
        <w:i w:val="0"/>
        <w:smallCaps w:val="0"/>
        <w:strike w:val="0"/>
        <w:color w:val="000000"/>
        <w:sz w:val="18"/>
        <w:szCs w:val="18"/>
        <w:u w:val="none"/>
        <w:shd w:fill="auto" w:val="clear"/>
        <w:vertAlign w:val="baseline"/>
      </w:rPr>
      <mc:AlternateContent>
        <mc:Choice Requires="wpg">
          <w:drawing>
            <wp:anchor allowOverlap="1" behindDoc="0" distB="0" distT="0" distL="0" distR="0" hidden="0" layoutInCell="1" locked="0" relativeHeight="0" simplePos="0">
              <wp:simplePos x="0" y="0"/>
              <wp:positionH relativeFrom="page">
                <wp:posOffset>5278438</wp:posOffset>
              </wp:positionH>
              <wp:positionV relativeFrom="page">
                <wp:posOffset>326073</wp:posOffset>
              </wp:positionV>
              <wp:extent cx="1842135" cy="230505"/>
              <wp:effectExtent b="0" l="0" r="0" t="0"/>
              <wp:wrapSquare wrapText="bothSides" distB="0" distT="0" distL="0" distR="0"/>
              <wp:docPr id="2" name=""/>
              <a:graphic>
                <a:graphicData uri="http://schemas.microsoft.com/office/word/2010/wordprocessingShape">
                  <wps:wsp>
                    <wps:cNvSpPr/>
                    <wps:cNvPr id="3" name="Shape 3"/>
                    <wps:spPr>
                      <a:xfrm>
                        <a:off x="4429695" y="3669510"/>
                        <a:ext cx="1832610" cy="220980"/>
                      </a:xfrm>
                      <a:prstGeom prst="rect">
                        <a:avLst/>
                      </a:prstGeom>
                      <a:noFill/>
                      <a:ln>
                        <a:noFill/>
                      </a:ln>
                    </wps:spPr>
                    <wps:txbx>
                      <w:txbxContent>
                        <w:p w:rsidR="00000000" w:rsidDel="00000000" w:rsidP="00000000" w:rsidRDefault="00000000" w:rsidRPr="00000000">
                          <w:pPr>
                            <w:spacing w:after="0" w:before="2.0000000298023224" w:line="249.0000057220459"/>
                            <w:ind w:left="156.00000381469727" w:right="17.999999523162842" w:firstLine="18.99999976158142"/>
                            <w:jc w:val="left"/>
                            <w:textDirection w:val="btLr"/>
                          </w:pPr>
                          <w:r w:rsidDel="00000000" w:rsidR="00000000" w:rsidRPr="00000000">
                            <w:rPr>
                              <w:rFonts w:ascii="Arial" w:cs="Arial" w:eastAsia="Arial" w:hAnsi="Arial"/>
                              <w:b w:val="0"/>
                              <w:i w:val="0"/>
                              <w:smallCaps w:val="0"/>
                              <w:strike w:val="0"/>
                              <w:color w:val="ffffff"/>
                              <w:sz w:val="14"/>
                              <w:vertAlign w:val="baseline"/>
                            </w:rPr>
                            <w:t xml:space="preserve">T Furuta et al., J Pai n Relief 2016, 5:3(Suppl) http://dx.doi.org/10.4172/2167-0846.C1.006</w:t>
                          </w:r>
                        </w:p>
                      </w:txbxContent>
                    </wps:txbx>
                    <wps:bodyPr anchorCtr="0" anchor="t" bIns="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page">
                <wp:posOffset>5278438</wp:posOffset>
              </wp:positionH>
              <wp:positionV relativeFrom="page">
                <wp:posOffset>326073</wp:posOffset>
              </wp:positionV>
              <wp:extent cx="1842135" cy="230505"/>
              <wp:effectExtent b="0" l="0" r="0" t="0"/>
              <wp:wrapSquare wrapText="bothSides" distB="0" distT="0" distL="0" distR="0"/>
              <wp:docPr id="2"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1842135" cy="230505"/>
                      </a:xfrm>
                      <a:prstGeom prst="rect"/>
                      <a:ln/>
                    </pic:spPr>
                  </pic:pic>
                </a:graphicData>
              </a:graphic>
            </wp:anchor>
          </w:drawing>
        </mc:Fallback>
      </mc:AlternateContent>
    </w:r>
    <w:r w:rsidDel="00000000" w:rsidR="00000000" w:rsidRPr="00000000">
      <w:rPr>
        <w:rFonts w:ascii="Twentieth Century" w:cs="Twentieth Century" w:eastAsia="Twentieth Century" w:hAnsi="Twentieth Century"/>
        <w:b w:val="0"/>
        <w:i w:val="0"/>
        <w:smallCaps w:val="0"/>
        <w:strike w:val="0"/>
        <w:color w:val="000000"/>
        <w:sz w:val="18"/>
        <w:szCs w:val="18"/>
        <w:u w:val="none"/>
        <w:shd w:fill="auto" w:val="clear"/>
        <w:vertAlign w:val="baseline"/>
      </w:rPr>
      <mc:AlternateContent>
        <mc:Choice Requires="wpg">
          <w:drawing>
            <wp:anchor allowOverlap="1" behindDoc="0" distB="0" distT="0" distL="0" distR="0" hidden="0" layoutInCell="1" locked="0" relativeHeight="0" simplePos="0">
              <wp:simplePos x="0" y="0"/>
              <wp:positionH relativeFrom="page">
                <wp:posOffset>439738</wp:posOffset>
              </wp:positionH>
              <wp:positionV relativeFrom="page">
                <wp:posOffset>608648</wp:posOffset>
              </wp:positionV>
              <wp:extent cx="6562090" cy="518795"/>
              <wp:effectExtent b="0" l="0" r="0" t="0"/>
              <wp:wrapSquare wrapText="bothSides" distB="0" distT="0" distL="0" distR="0"/>
              <wp:docPr id="4" name=""/>
              <a:graphic>
                <a:graphicData uri="http://schemas.microsoft.com/office/word/2010/wordprocessingShape">
                  <wps:wsp>
                    <wps:cNvSpPr/>
                    <wps:cNvPr id="7" name="Shape 7"/>
                    <wps:spPr>
                      <a:xfrm>
                        <a:off x="2069718" y="3525365"/>
                        <a:ext cx="6552565" cy="509270"/>
                      </a:xfrm>
                      <a:prstGeom prst="rect">
                        <a:avLst/>
                      </a:prstGeom>
                      <a:noFill/>
                      <a:ln>
                        <a:noFill/>
                      </a:ln>
                    </wps:spPr>
                    <wps:txbx>
                      <w:txbxContent>
                        <w:p w:rsidR="00000000" w:rsidDel="00000000" w:rsidP="00000000" w:rsidRDefault="00000000" w:rsidRPr="00000000">
                          <w:pPr>
                            <w:spacing w:after="0" w:before="0" w:line="186.99999332427979"/>
                            <w:ind w:left="20" w:right="-10" w:firstLine="0"/>
                            <w:jc w:val="left"/>
                            <w:textDirection w:val="btLr"/>
                          </w:pPr>
                          <w:r w:rsidDel="00000000" w:rsidR="00000000" w:rsidRPr="00000000">
                            <w:rPr>
                              <w:rFonts w:ascii="Open Sans" w:cs="Open Sans" w:eastAsia="Open Sans" w:hAnsi="Open Sans"/>
                              <w:b w:val="0"/>
                              <w:i w:val="0"/>
                              <w:smallCaps w:val="0"/>
                              <w:strike w:val="0"/>
                              <w:color w:val="ffffff"/>
                              <w:sz w:val="18"/>
                              <w:vertAlign w:val="baseline"/>
                            </w:rPr>
                            <w:t xml:space="preserve">International Conference on</w:t>
                          </w:r>
                        </w:p>
                        <w:p w:rsidR="00000000" w:rsidDel="00000000" w:rsidP="00000000" w:rsidRDefault="00000000" w:rsidRPr="00000000">
                          <w:pPr>
                            <w:spacing w:after="0" w:before="0" w:line="614.0000152587891"/>
                            <w:ind w:left="20" w:right="-10" w:firstLine="20"/>
                            <w:jc w:val="left"/>
                            <w:textDirection w:val="btLr"/>
                          </w:pPr>
                          <w:r w:rsidDel="00000000" w:rsidR="00000000" w:rsidRPr="00000000">
                            <w:rPr>
                              <w:rFonts w:ascii="Open Sans" w:cs="Open Sans" w:eastAsia="Open Sans" w:hAnsi="Open Sans"/>
                              <w:b w:val="0"/>
                              <w:i w:val="0"/>
                              <w:smallCaps w:val="0"/>
                              <w:strike w:val="0"/>
                              <w:color w:val="ffffff"/>
                              <w:sz w:val="18"/>
                              <w:vertAlign w:val="baseline"/>
                            </w:rPr>
                          </w:r>
                          <w:r w:rsidDel="00000000" w:rsidR="00000000" w:rsidRPr="00000000">
                            <w:rPr>
                              <w:rFonts w:ascii="Impact" w:cs="Impact" w:eastAsia="Impact" w:hAnsi="Impact"/>
                              <w:b w:val="0"/>
                              <w:i w:val="0"/>
                              <w:smallCaps w:val="0"/>
                              <w:strike w:val="0"/>
                              <w:color w:val="ffffff"/>
                              <w:sz w:val="52"/>
                              <w:vertAlign w:val="baseline"/>
                            </w:rPr>
                            <w:t xml:space="preserve">Fibromyalgia and Chronic Pain </w:t>
                          </w:r>
                          <w:r w:rsidDel="00000000" w:rsidR="00000000" w:rsidRPr="00000000">
                            <w:rPr>
                              <w:rFonts w:ascii="EB Garamond" w:cs="EB Garamond" w:eastAsia="EB Garamond" w:hAnsi="EB Garamond"/>
                              <w:b w:val="0"/>
                              <w:i w:val="0"/>
                              <w:smallCaps w:val="0"/>
                              <w:strike w:val="0"/>
                              <w:color w:val="ffffff"/>
                              <w:sz w:val="24"/>
                              <w:vertAlign w:val="baseline"/>
                            </w:rPr>
                            <w:t xml:space="preserve">(June 15-16, 2016   Philadelphia, USA)</w:t>
                          </w:r>
                        </w:p>
                      </w:txbxContent>
                    </wps:txbx>
                    <wps:bodyPr anchorCtr="0" anchor="t" bIns="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page">
                <wp:posOffset>439738</wp:posOffset>
              </wp:positionH>
              <wp:positionV relativeFrom="page">
                <wp:posOffset>608648</wp:posOffset>
              </wp:positionV>
              <wp:extent cx="6562090" cy="518795"/>
              <wp:effectExtent b="0" l="0" r="0" t="0"/>
              <wp:wrapSquare wrapText="bothSides" distB="0" distT="0" distL="0" distR="0"/>
              <wp:docPr id="4" name="image4.png"/>
              <a:graphic>
                <a:graphicData uri="http://schemas.openxmlformats.org/drawingml/2006/picture">
                  <pic:pic>
                    <pic:nvPicPr>
                      <pic:cNvPr id="0" name="image4.png"/>
                      <pic:cNvPicPr preferRelativeResize="0"/>
                    </pic:nvPicPr>
                    <pic:blipFill>
                      <a:blip r:embed="rId2"/>
                      <a:srcRect/>
                      <a:stretch>
                        <a:fillRect/>
                      </a:stretch>
                    </pic:blipFill>
                    <pic:spPr>
                      <a:xfrm>
                        <a:off x="0" y="0"/>
                        <a:ext cx="6562090" cy="518795"/>
                      </a:xfrm>
                      <a:prstGeom prst="rect"/>
                      <a:ln/>
                    </pic:spPr>
                  </pic:pic>
                </a:graphicData>
              </a:graphic>
            </wp:anchor>
          </w:drawing>
        </mc:Fallback>
      </mc:AlternateConten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383" w:hanging="284"/>
      </w:pPr>
      <w:rPr>
        <w:rFonts w:ascii="Calibri" w:cs="Calibri" w:eastAsia="Calibri" w:hAnsi="Calibri"/>
        <w:sz w:val="18"/>
        <w:szCs w:val="18"/>
      </w:rPr>
    </w:lvl>
    <w:lvl w:ilvl="1">
      <w:start w:val="1"/>
      <w:numFmt w:val="bullet"/>
      <w:lvlText w:val="•"/>
      <w:lvlJc w:val="left"/>
      <w:pPr>
        <w:ind w:left="877" w:hanging="284"/>
      </w:pPr>
      <w:rPr/>
    </w:lvl>
    <w:lvl w:ilvl="2">
      <w:start w:val="1"/>
      <w:numFmt w:val="bullet"/>
      <w:lvlText w:val="•"/>
      <w:lvlJc w:val="left"/>
      <w:pPr>
        <w:ind w:left="1374" w:hanging="284"/>
      </w:pPr>
      <w:rPr/>
    </w:lvl>
    <w:lvl w:ilvl="3">
      <w:start w:val="1"/>
      <w:numFmt w:val="bullet"/>
      <w:lvlText w:val="•"/>
      <w:lvlJc w:val="left"/>
      <w:pPr>
        <w:ind w:left="1871" w:hanging="284"/>
      </w:pPr>
      <w:rPr/>
    </w:lvl>
    <w:lvl w:ilvl="4">
      <w:start w:val="1"/>
      <w:numFmt w:val="bullet"/>
      <w:lvlText w:val="•"/>
      <w:lvlJc w:val="left"/>
      <w:pPr>
        <w:ind w:left="2369" w:hanging="284"/>
      </w:pPr>
      <w:rPr/>
    </w:lvl>
    <w:lvl w:ilvl="5">
      <w:start w:val="1"/>
      <w:numFmt w:val="bullet"/>
      <w:lvlText w:val="•"/>
      <w:lvlJc w:val="left"/>
      <w:pPr>
        <w:ind w:left="2866" w:hanging="283.99999999999955"/>
      </w:pPr>
      <w:rPr/>
    </w:lvl>
    <w:lvl w:ilvl="6">
      <w:start w:val="1"/>
      <w:numFmt w:val="bullet"/>
      <w:lvlText w:val="•"/>
      <w:lvlJc w:val="left"/>
      <w:pPr>
        <w:ind w:left="3363" w:hanging="283.99999999999955"/>
      </w:pPr>
      <w:rPr/>
    </w:lvl>
    <w:lvl w:ilvl="7">
      <w:start w:val="1"/>
      <w:numFmt w:val="bullet"/>
      <w:lvlText w:val="•"/>
      <w:lvlJc w:val="left"/>
      <w:pPr>
        <w:ind w:left="3860" w:hanging="284"/>
      </w:pPr>
      <w:rPr/>
    </w:lvl>
    <w:lvl w:ilvl="8">
      <w:start w:val="1"/>
      <w:numFmt w:val="bullet"/>
      <w:lvlText w:val="•"/>
      <w:lvlJc w:val="left"/>
      <w:pPr>
        <w:ind w:left="4358" w:hanging="283.99999999999955"/>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Twentieth Century" w:cs="Twentieth Century" w:eastAsia="Twentieth Century" w:hAnsi="Twentieth Century"/>
        <w:sz w:val="22"/>
        <w:szCs w:val="22"/>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47" w:line="400" w:lineRule="auto"/>
      <w:ind w:left="100"/>
    </w:pPr>
    <w:rPr>
      <w:rFonts w:ascii="EB Garamond" w:cs="EB Garamond" w:eastAsia="EB Garamond" w:hAnsi="EB Garamond"/>
      <w:b w:val="1"/>
      <w:sz w:val="36"/>
      <w:szCs w:val="36"/>
    </w:rPr>
  </w:style>
  <w:style w:type="paragraph" w:styleId="Heading2">
    <w:name w:val="heading 2"/>
    <w:basedOn w:val="Normal"/>
    <w:next w:val="Normal"/>
    <w:pPr>
      <w:ind w:left="100"/>
    </w:pPr>
    <w:rPr>
      <w:rFonts w:ascii="EB Garamond" w:cs="EB Garamond" w:eastAsia="EB Garamond" w:hAnsi="EB Garamond"/>
      <w:sz w:val="24"/>
      <w:szCs w:val="24"/>
    </w:rPr>
  </w:style>
  <w:style w:type="paragraph" w:styleId="Heading3">
    <w:name w:val="heading 3"/>
    <w:basedOn w:val="Normal"/>
    <w:next w:val="Normal"/>
    <w:pPr>
      <w:ind w:left="100"/>
    </w:pPr>
    <w:rPr>
      <w:rFonts w:ascii="Arial" w:cs="Arial" w:eastAsia="Arial" w:hAnsi="Arial"/>
      <w:b w:val="1"/>
      <w:sz w:val="20"/>
      <w:szCs w:val="20"/>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1.png"/><Relationship Id="rId9" Type="http://schemas.openxmlformats.org/officeDocument/2006/relationships/image" Target="media/image5.jpg"/><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ttf"/><Relationship Id="rId2" Type="http://schemas.openxmlformats.org/officeDocument/2006/relationships/font" Target="fonts/EBGaramond-bold.ttf"/><Relationship Id="rId3" Type="http://schemas.openxmlformats.org/officeDocument/2006/relationships/font" Target="fonts/EBGaramond-italic.ttf"/><Relationship Id="rId4" Type="http://schemas.openxmlformats.org/officeDocument/2006/relationships/font" Target="fonts/EBGaramond-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