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6C7" w:rsidRPr="009436C7" w:rsidRDefault="009436C7" w:rsidP="009436C7">
      <w:pPr>
        <w:jc w:val="center"/>
        <w:rPr>
          <w:rFonts w:ascii="Cambria Math" w:hAnsi="Cambria Math"/>
          <w:b/>
          <w:color w:val="365F91" w:themeColor="accent1" w:themeShade="BF"/>
          <w:sz w:val="20"/>
          <w:szCs w:val="20"/>
        </w:rPr>
      </w:pPr>
      <w:r w:rsidRPr="009436C7">
        <w:rPr>
          <w:rFonts w:ascii="Cambria Math" w:hAnsi="Cambria Math"/>
          <w:b/>
          <w:color w:val="365F91" w:themeColor="accent1" w:themeShade="BF"/>
        </w:rPr>
        <w:t xml:space="preserve">Title: </w:t>
      </w:r>
      <w:r w:rsidRPr="009436C7">
        <w:rPr>
          <w:rFonts w:ascii="Cambria Math" w:hAnsi="Cambria Math"/>
          <w:b/>
          <w:color w:val="365F91" w:themeColor="accent1" w:themeShade="BF"/>
          <w:sz w:val="20"/>
          <w:szCs w:val="20"/>
        </w:rPr>
        <w:t>Nitrogen uptake and utilization efficiency of malting barley as influenced by variety and nitrogen level</w:t>
      </w:r>
    </w:p>
    <w:p w:rsidR="009436C7" w:rsidRPr="00950EFA" w:rsidRDefault="009436C7" w:rsidP="009436C7">
      <w:pPr>
        <w:autoSpaceDE w:val="0"/>
        <w:autoSpaceDN w:val="0"/>
        <w:adjustRightInd w:val="0"/>
        <w:spacing w:line="276" w:lineRule="auto"/>
        <w:jc w:val="both"/>
        <w:rPr>
          <w:rFonts w:ascii="Cambria Math" w:eastAsiaTheme="minorHAnsi" w:hAnsi="Cambria Math" w:cs="Martel-Regular"/>
          <w:b/>
          <w:sz w:val="20"/>
          <w:szCs w:val="20"/>
        </w:rPr>
      </w:pPr>
    </w:p>
    <w:p w:rsidR="009436C7" w:rsidRPr="00F50FDF" w:rsidRDefault="009436C7" w:rsidP="009436C7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b/>
          <w:sz w:val="20"/>
          <w:szCs w:val="20"/>
          <w:vertAlign w:val="superscript"/>
        </w:rPr>
      </w:pPr>
      <w:proofErr w:type="spellStart"/>
      <w:r w:rsidRPr="00F50FDF">
        <w:rPr>
          <w:rFonts w:ascii="Cambria Math" w:hAnsi="Cambria Math"/>
          <w:b/>
          <w:sz w:val="20"/>
          <w:szCs w:val="20"/>
        </w:rPr>
        <w:t>Meharie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proofErr w:type="spellStart"/>
      <w:proofErr w:type="gramStart"/>
      <w:r w:rsidRPr="00F50FDF">
        <w:rPr>
          <w:rFonts w:ascii="Cambria Math" w:hAnsi="Cambria Math"/>
          <w:b/>
          <w:sz w:val="20"/>
          <w:szCs w:val="20"/>
        </w:rPr>
        <w:t>Kassie</w:t>
      </w:r>
      <w:proofErr w:type="spellEnd"/>
      <w:r w:rsidRPr="00F50FDF">
        <w:rPr>
          <w:rFonts w:ascii="Cambria Math" w:hAnsi="Cambria Math"/>
          <w:b/>
          <w:sz w:val="20"/>
          <w:szCs w:val="20"/>
          <w:vertAlign w:val="superscript"/>
        </w:rPr>
        <w:t xml:space="preserve">  1</w:t>
      </w:r>
      <w:proofErr w:type="gramEnd"/>
      <w:r w:rsidRPr="00F50FDF">
        <w:rPr>
          <w:rFonts w:ascii="Cambria Math" w:hAnsi="Cambria Math"/>
          <w:b/>
          <w:sz w:val="20"/>
          <w:szCs w:val="20"/>
          <w:vertAlign w:val="superscript"/>
        </w:rPr>
        <w:t>*</w:t>
      </w:r>
      <w:r w:rsidRPr="00F50FDF">
        <w:rPr>
          <w:rFonts w:ascii="Cambria Math" w:hAnsi="Cambria Math"/>
          <w:b/>
          <w:sz w:val="20"/>
          <w:szCs w:val="20"/>
        </w:rPr>
        <w:t xml:space="preserve">,  </w:t>
      </w:r>
      <w:proofErr w:type="spellStart"/>
      <w:r w:rsidRPr="00F50FDF">
        <w:rPr>
          <w:rFonts w:ascii="Cambria Math" w:hAnsi="Cambria Math"/>
          <w:b/>
          <w:sz w:val="20"/>
          <w:szCs w:val="20"/>
        </w:rPr>
        <w:t>Kindie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proofErr w:type="spellStart"/>
      <w:r w:rsidRPr="00F50FDF">
        <w:rPr>
          <w:rFonts w:ascii="Cambria Math" w:hAnsi="Cambria Math"/>
          <w:b/>
          <w:sz w:val="20"/>
          <w:szCs w:val="20"/>
        </w:rPr>
        <w:t>Tesfaye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r w:rsidRPr="00F50FDF">
        <w:rPr>
          <w:rFonts w:ascii="Cambria Math" w:hAnsi="Cambria Math"/>
          <w:b/>
          <w:sz w:val="20"/>
          <w:szCs w:val="20"/>
          <w:vertAlign w:val="superscript"/>
        </w:rPr>
        <w:t>2</w:t>
      </w:r>
    </w:p>
    <w:p w:rsidR="009436C7" w:rsidRPr="00F50FDF" w:rsidRDefault="009436C7" w:rsidP="009436C7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sz w:val="20"/>
          <w:szCs w:val="20"/>
        </w:rPr>
      </w:pPr>
      <w:proofErr w:type="gramStart"/>
      <w:r w:rsidRPr="00F50FDF">
        <w:rPr>
          <w:rFonts w:ascii="Cambria Math" w:hAnsi="Cambria Math"/>
          <w:sz w:val="20"/>
          <w:szCs w:val="20"/>
          <w:vertAlign w:val="superscript"/>
        </w:rPr>
        <w:t xml:space="preserve">1 </w:t>
      </w:r>
      <w:proofErr w:type="spellStart"/>
      <w:r w:rsidRPr="00F50FDF">
        <w:rPr>
          <w:rFonts w:ascii="Cambria Math" w:hAnsi="Cambria Math"/>
          <w:sz w:val="20"/>
          <w:szCs w:val="20"/>
        </w:rPr>
        <w:t>Arsi</w:t>
      </w:r>
      <w:proofErr w:type="spellEnd"/>
      <w:r w:rsidRPr="00F50FDF">
        <w:rPr>
          <w:rFonts w:ascii="Cambria Math" w:hAnsi="Cambria Math"/>
          <w:sz w:val="20"/>
          <w:szCs w:val="20"/>
        </w:rPr>
        <w:t xml:space="preserve"> University, College of Agriculture and Environmental Sciences, P O Box 193, </w:t>
      </w:r>
      <w:proofErr w:type="spellStart"/>
      <w:r w:rsidRPr="00F50FDF">
        <w:rPr>
          <w:rFonts w:ascii="Cambria Math" w:hAnsi="Cambria Math"/>
          <w:sz w:val="20"/>
          <w:szCs w:val="20"/>
        </w:rPr>
        <w:t>Asella</w:t>
      </w:r>
      <w:proofErr w:type="spellEnd"/>
      <w:r w:rsidRPr="00F50FDF">
        <w:rPr>
          <w:rFonts w:ascii="Cambria Math" w:hAnsi="Cambria Math"/>
          <w:sz w:val="20"/>
          <w:szCs w:val="20"/>
        </w:rPr>
        <w:t>, Ethiopia.</w:t>
      </w:r>
      <w:proofErr w:type="gramEnd"/>
    </w:p>
    <w:p w:rsidR="009436C7" w:rsidRPr="00F50FDF" w:rsidRDefault="009436C7" w:rsidP="009436C7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sz w:val="20"/>
          <w:szCs w:val="20"/>
        </w:rPr>
      </w:pPr>
      <w:proofErr w:type="gramStart"/>
      <w:r w:rsidRPr="00F50FDF">
        <w:rPr>
          <w:rFonts w:ascii="Cambria Math" w:hAnsi="Cambria Math"/>
          <w:sz w:val="20"/>
          <w:szCs w:val="20"/>
          <w:vertAlign w:val="superscript"/>
        </w:rPr>
        <w:t xml:space="preserve">2 </w:t>
      </w:r>
      <w:r w:rsidRPr="00F50FDF">
        <w:rPr>
          <w:rFonts w:ascii="Cambria Math" w:hAnsi="Cambria Math"/>
          <w:sz w:val="20"/>
          <w:szCs w:val="20"/>
        </w:rPr>
        <w:t>International Maize</w:t>
      </w:r>
      <w:proofErr w:type="gramEnd"/>
      <w:r w:rsidRPr="00F50FDF">
        <w:rPr>
          <w:rFonts w:ascii="Cambria Math" w:hAnsi="Cambria Math"/>
          <w:sz w:val="20"/>
          <w:szCs w:val="20"/>
        </w:rPr>
        <w:t xml:space="preserve"> and Wheat Improvement Center (CIMMYT), Addis </w:t>
      </w:r>
      <w:proofErr w:type="spellStart"/>
      <w:r w:rsidRPr="00F50FDF">
        <w:rPr>
          <w:rFonts w:ascii="Cambria Math" w:hAnsi="Cambria Math"/>
          <w:sz w:val="20"/>
          <w:szCs w:val="20"/>
        </w:rPr>
        <w:t>Aababa</w:t>
      </w:r>
      <w:proofErr w:type="spellEnd"/>
      <w:r w:rsidRPr="00F50FDF">
        <w:rPr>
          <w:rFonts w:ascii="Cambria Math" w:hAnsi="Cambria Math"/>
          <w:sz w:val="20"/>
          <w:szCs w:val="20"/>
        </w:rPr>
        <w:t>, Ethiopia.</w:t>
      </w:r>
    </w:p>
    <w:p w:rsidR="009436C7" w:rsidRDefault="009436C7" w:rsidP="009436C7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sz w:val="20"/>
          <w:szCs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BD0008" w:rsidRPr="008F5773" w:rsidRDefault="00BD0008" w:rsidP="00BD0008">
      <w:pPr>
        <w:spacing w:line="276" w:lineRule="auto"/>
        <w:jc w:val="both"/>
      </w:pPr>
      <w:r w:rsidRPr="008F5773">
        <w:t xml:space="preserve">Nitrogen (N) is the primary driver of crop production and it is heavily used in modern agriculture to maximize yield. However, the effectiveness with which N is used by cereals has become increasingly important because of both financial and environmental costs to N fertilization. </w:t>
      </w:r>
      <w:r w:rsidRPr="008F5773">
        <w:rPr>
          <w:rFonts w:eastAsia="Calibri"/>
        </w:rPr>
        <w:t>The aims of this study were to determine the effects of N fertilization rate, variety and growing season on grain yield, N uptake and N efficiency traits of malting barley at</w:t>
      </w:r>
      <w:r w:rsidRPr="008F5773">
        <w:t xml:space="preserve"> </w:t>
      </w:r>
      <w:proofErr w:type="spellStart"/>
      <w:r w:rsidRPr="008F5773">
        <w:t>Bekoji</w:t>
      </w:r>
      <w:proofErr w:type="spellEnd"/>
      <w:r w:rsidRPr="008F5773">
        <w:t xml:space="preserve">, south eastern Ethiopia. </w:t>
      </w:r>
      <w:r w:rsidRPr="008F5773">
        <w:rPr>
          <w:rFonts w:eastAsia="Calibri"/>
        </w:rPr>
        <w:t xml:space="preserve">The treatments studied were </w:t>
      </w:r>
      <w:r w:rsidRPr="008F5773">
        <w:t>five N levels (0, 23, 46, 69 and 92 kg ha</w:t>
      </w:r>
      <w:r w:rsidRPr="008F5773">
        <w:rPr>
          <w:vertAlign w:val="superscript"/>
        </w:rPr>
        <w:t>-1</w:t>
      </w:r>
      <w:r w:rsidRPr="008F5773">
        <w:t xml:space="preserve">) and two malting barley varieties (Miscal-21 and </w:t>
      </w:r>
      <w:proofErr w:type="spellStart"/>
      <w:r w:rsidRPr="008F5773">
        <w:t>Holker</w:t>
      </w:r>
      <w:proofErr w:type="spellEnd"/>
      <w:r w:rsidRPr="008F5773">
        <w:t>)</w:t>
      </w:r>
      <w:r w:rsidRPr="008F5773">
        <w:rPr>
          <w:rFonts w:eastAsia="Calibri"/>
        </w:rPr>
        <w:t xml:space="preserve"> over three seasons (2012, 2013 and 2014). The results showed that a</w:t>
      </w:r>
      <w:r w:rsidRPr="008F5773">
        <w:t>s N rates increased, malting barley grain yield, grain, straw and total N uptakes in</w:t>
      </w:r>
      <w:r>
        <w:t>creased, but N-harvest index, N-use efficiency, N-recovery efficiency and N-</w:t>
      </w:r>
      <w:r w:rsidRPr="008F5773">
        <w:t>utilization efficiency decreased. Grain yie</w:t>
      </w:r>
      <w:r>
        <w:t>ld, grain and total N uptake, N-harvest index, N-use efficiency, N-recovery efficiency and N-</w:t>
      </w:r>
      <w:r w:rsidRPr="008F5773">
        <w:t>utilization efficiency were greater in Miscal-21, whilst straw N uptake</w:t>
      </w:r>
      <w:r>
        <w:t>s</w:t>
      </w:r>
      <w:r w:rsidRPr="008F5773">
        <w:t xml:space="preserve"> were greater in </w:t>
      </w:r>
      <w:proofErr w:type="spellStart"/>
      <w:r w:rsidRPr="008F5773">
        <w:t>Holker</w:t>
      </w:r>
      <w:proofErr w:type="spellEnd"/>
      <w:r w:rsidRPr="008F5773">
        <w:t>. Grain yield, gra</w:t>
      </w:r>
      <w:r>
        <w:t>in, straw and total N uptake, N-recovery efficiency and N-</w:t>
      </w:r>
      <w:r w:rsidRPr="008F5773">
        <w:t>harvest index were greater in 2012 than in 2013 and 2014, but gr</w:t>
      </w:r>
      <w:r>
        <w:t>owing season had no effect on N-use efficiency and N-</w:t>
      </w:r>
      <w:r w:rsidRPr="008F5773">
        <w:t>utilization efficiency.</w:t>
      </w:r>
      <w:r w:rsidRPr="008F5773">
        <w:rPr>
          <w:rFonts w:eastAsia="Calibri"/>
        </w:rPr>
        <w:t xml:space="preserve"> Grain yield w</w:t>
      </w:r>
      <w:r>
        <w:rPr>
          <w:rFonts w:eastAsia="Calibri"/>
        </w:rPr>
        <w:t>as positively correlated with N-</w:t>
      </w:r>
      <w:r w:rsidRPr="008F5773">
        <w:rPr>
          <w:rFonts w:eastAsia="Calibri"/>
        </w:rPr>
        <w:t>effic</w:t>
      </w:r>
      <w:r>
        <w:rPr>
          <w:rFonts w:eastAsia="Calibri"/>
        </w:rPr>
        <w:t>iency traits, but the role of N-</w:t>
      </w:r>
      <w:r w:rsidRPr="008F5773">
        <w:t>recovery</w:t>
      </w:r>
      <w:r w:rsidRPr="008F5773">
        <w:rPr>
          <w:rFonts w:eastAsia="Calibri"/>
        </w:rPr>
        <w:t xml:space="preserve"> efficiency in enhancing grain yiel</w:t>
      </w:r>
      <w:r>
        <w:rPr>
          <w:rFonts w:eastAsia="Calibri"/>
        </w:rPr>
        <w:t>d was larger than the role of N-</w:t>
      </w:r>
      <w:r w:rsidRPr="008F5773">
        <w:rPr>
          <w:rFonts w:eastAsia="Calibri"/>
        </w:rPr>
        <w:t>utilization efficiency. In conclusion, future studies should focus in developing varieties with increased efficiency to capture and utilize the applied N fertilizer, and more efficient N management strategies are of interest.</w:t>
      </w:r>
    </w:p>
    <w:p w:rsidR="00AE3E37" w:rsidRDefault="00A9710C" w:rsidP="00D0114A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D0114A">
        <w:rPr>
          <w:b w:val="0"/>
          <w:sz w:val="16"/>
        </w:rPr>
        <w:lastRenderedPageBreak/>
        <w:t xml:space="preserve"> </w:t>
      </w:r>
    </w:p>
    <w:p w:rsidR="005973B9" w:rsidRDefault="00D37DD1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D0114A" w:rsidRDefault="00D0114A" w:rsidP="005973B9">
      <w:pPr>
        <w:spacing w:line="204" w:lineRule="exact"/>
        <w:rPr>
          <w:rFonts w:ascii="Arial"/>
          <w:b/>
          <w:sz w:val="20"/>
        </w:rPr>
      </w:pPr>
    </w:p>
    <w:p w:rsidR="00D0114A" w:rsidRPr="00D0114A" w:rsidRDefault="00D0114A" w:rsidP="00D0114A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Cambria Math" w:hAnsi="Cambria Math" w:cs="Times New Roman"/>
          <w:color w:val="002060"/>
          <w:sz w:val="18"/>
          <w:szCs w:val="18"/>
        </w:rPr>
      </w:pPr>
      <w:proofErr w:type="spellStart"/>
      <w:r w:rsidRPr="00D0114A">
        <w:rPr>
          <w:rFonts w:ascii="Cambria Math" w:hAnsi="Cambria Math" w:cs="Times New Roman"/>
          <w:sz w:val="18"/>
          <w:szCs w:val="18"/>
        </w:rPr>
        <w:t>Meharie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Kassie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and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Kindie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Fanataye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(2019). Nitrogen uptake and utilization efficiency of malting barley as influenced by variety and nitrogen level, </w:t>
      </w:r>
      <w:r w:rsidRPr="00D0114A">
        <w:rPr>
          <w:rFonts w:ascii="Cambria Math" w:hAnsi="Cambria Math" w:cs="Helvetica"/>
          <w:spacing w:val="3"/>
          <w:sz w:val="18"/>
          <w:szCs w:val="18"/>
          <w:shd w:val="clear" w:color="auto" w:fill="FFFFFF"/>
        </w:rPr>
        <w:t xml:space="preserve">J. Crop Sci. </w:t>
      </w:r>
      <w:proofErr w:type="spellStart"/>
      <w:r w:rsidRPr="00D0114A">
        <w:rPr>
          <w:rFonts w:ascii="Cambria Math" w:hAnsi="Cambria Math" w:cs="Helvetica"/>
          <w:spacing w:val="3"/>
          <w:sz w:val="18"/>
          <w:szCs w:val="18"/>
          <w:shd w:val="clear" w:color="auto" w:fill="FFFFFF"/>
        </w:rPr>
        <w:t>Biotechnol</w:t>
      </w:r>
      <w:proofErr w:type="spellEnd"/>
      <w:r w:rsidRPr="00D0114A">
        <w:rPr>
          <w:rFonts w:ascii="Cambria Math" w:hAnsi="Cambria Math" w:cs="Helvetica"/>
          <w:spacing w:val="3"/>
          <w:sz w:val="18"/>
          <w:szCs w:val="18"/>
          <w:shd w:val="clear" w:color="auto" w:fill="FFFFFF"/>
        </w:rPr>
        <w:t>.</w:t>
      </w:r>
      <w:r w:rsidRPr="00D0114A">
        <w:rPr>
          <w:rFonts w:ascii="Cambria Math" w:hAnsi="Cambria Math" w:cs="Times New Roman"/>
          <w:sz w:val="18"/>
          <w:szCs w:val="18"/>
        </w:rPr>
        <w:t xml:space="preserve"> 22: 65-73.</w:t>
      </w:r>
      <w:r w:rsidRPr="00D0114A">
        <w:rPr>
          <w:rFonts w:ascii="Cambria Math" w:hAnsi="Cambria Math" w:cs="Helvetica"/>
          <w:color w:val="333333"/>
          <w:spacing w:val="3"/>
          <w:sz w:val="18"/>
          <w:szCs w:val="18"/>
          <w:shd w:val="clear" w:color="auto" w:fill="FFFFFF"/>
        </w:rPr>
        <w:t xml:space="preserve"> </w:t>
      </w:r>
      <w:r w:rsidRPr="00D0114A">
        <w:rPr>
          <w:rFonts w:ascii="Cambria Math" w:hAnsi="Cambria Math" w:cs="Helvetica"/>
          <w:color w:val="002060"/>
          <w:spacing w:val="3"/>
          <w:sz w:val="18"/>
          <w:szCs w:val="18"/>
          <w:shd w:val="clear" w:color="auto" w:fill="FFFFFF"/>
        </w:rPr>
        <w:t>DOI:10.1007/s12892-019-0004-0</w:t>
      </w:r>
    </w:p>
    <w:p w:rsidR="00D0114A" w:rsidRPr="00D0114A" w:rsidRDefault="00D0114A" w:rsidP="00D0114A">
      <w:pPr>
        <w:pStyle w:val="ListParagraph"/>
        <w:ind w:left="360" w:firstLine="0"/>
        <w:rPr>
          <w:rFonts w:ascii="Cambria Math" w:hAnsi="Cambria Math" w:cs="Times New Roman"/>
          <w:color w:val="002060"/>
          <w:sz w:val="18"/>
          <w:szCs w:val="18"/>
        </w:rPr>
      </w:pPr>
    </w:p>
    <w:p w:rsidR="00D0114A" w:rsidRPr="00D0114A" w:rsidRDefault="00D0114A" w:rsidP="00D0114A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Cambria Math" w:hAnsi="Cambria Math" w:cs="Times New Roman"/>
          <w:sz w:val="18"/>
          <w:szCs w:val="18"/>
        </w:rPr>
      </w:pPr>
      <w:proofErr w:type="spellStart"/>
      <w:r w:rsidRPr="00D0114A">
        <w:rPr>
          <w:rFonts w:ascii="Cambria Math" w:hAnsi="Cambria Math" w:cs="Times New Roman"/>
          <w:sz w:val="18"/>
          <w:szCs w:val="18"/>
        </w:rPr>
        <w:t>Meharie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Kassie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and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Kindie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Tesfaye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(2019). </w:t>
      </w:r>
      <w:r w:rsidRPr="00D0114A">
        <w:rPr>
          <w:rFonts w:ascii="Cambria Math" w:hAnsi="Cambria Math"/>
          <w:sz w:val="18"/>
          <w:szCs w:val="18"/>
          <w:shd w:val="clear" w:color="auto" w:fill="FFFFFF"/>
        </w:rPr>
        <w:t>Influence of variety and nitrogen fertilizer on productivity and trait association of malting barley, Journal of Plant Nutrition.</w:t>
      </w:r>
      <w:r w:rsidRPr="00D0114A">
        <w:rPr>
          <w:rFonts w:ascii="Cambria Math" w:hAnsi="Cambria Math" w:cs="AdvOT5fcf1b24"/>
          <w:color w:val="000080"/>
          <w:sz w:val="18"/>
          <w:szCs w:val="18"/>
        </w:rPr>
        <w:t xml:space="preserve"> DOI:10.1080/01904167.2019.1605380</w:t>
      </w:r>
    </w:p>
    <w:p w:rsidR="00D0114A" w:rsidRPr="00D0114A" w:rsidRDefault="00D0114A" w:rsidP="00D0114A">
      <w:pPr>
        <w:pStyle w:val="ListParagraph"/>
        <w:ind w:left="360" w:firstLine="0"/>
        <w:rPr>
          <w:rFonts w:ascii="Cambria Math" w:hAnsi="Cambria Math" w:cs="Times New Roman"/>
          <w:sz w:val="18"/>
          <w:szCs w:val="18"/>
        </w:rPr>
      </w:pPr>
    </w:p>
    <w:p w:rsidR="00D0114A" w:rsidRDefault="00D0114A" w:rsidP="00D0114A">
      <w:pPr>
        <w:pStyle w:val="ListParagraph"/>
        <w:widowControl/>
        <w:numPr>
          <w:ilvl w:val="0"/>
          <w:numId w:val="4"/>
        </w:numPr>
        <w:tabs>
          <w:tab w:val="center" w:pos="4680"/>
          <w:tab w:val="left" w:pos="8064"/>
        </w:tabs>
        <w:spacing w:before="0" w:line="240" w:lineRule="auto"/>
        <w:contextualSpacing/>
        <w:rPr>
          <w:rFonts w:ascii="Cambria Math" w:hAnsi="Cambria Math" w:cs="Times New Roman"/>
          <w:sz w:val="18"/>
          <w:szCs w:val="18"/>
        </w:rPr>
      </w:pPr>
      <w:proofErr w:type="spellStart"/>
      <w:r w:rsidRPr="00D0114A">
        <w:rPr>
          <w:rFonts w:ascii="Cambria Math" w:hAnsi="Cambria Math" w:cs="Times New Roman"/>
          <w:sz w:val="18"/>
          <w:szCs w:val="18"/>
        </w:rPr>
        <w:t>Meharie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Kassie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and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Kindie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Tesfaye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(2019). Malting barley grain quality and yield response to nitrogen fertilization in the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Arsi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Highlands of Ethiopia,</w:t>
      </w:r>
      <w:r w:rsidRPr="00D0114A">
        <w:rPr>
          <w:rFonts w:ascii="Cambria Math" w:hAnsi="Cambria Math" w:cs="Times New Roman"/>
          <w:b/>
          <w:sz w:val="18"/>
          <w:szCs w:val="18"/>
        </w:rPr>
        <w:t xml:space="preserve"> </w:t>
      </w:r>
      <w:r w:rsidRPr="00D0114A">
        <w:rPr>
          <w:rFonts w:ascii="Cambria Math" w:hAnsi="Cambria Math" w:cs="Times New Roman"/>
          <w:sz w:val="18"/>
          <w:szCs w:val="18"/>
        </w:rPr>
        <w:t>Journal of Crop Science and Biotechnology  (</w:t>
      </w:r>
      <w:r w:rsidRPr="00D0114A">
        <w:rPr>
          <w:rFonts w:ascii="Cambria Math" w:hAnsi="Cambria Math" w:cs="Times New Roman"/>
          <w:b/>
          <w:color w:val="C00000"/>
          <w:sz w:val="18"/>
          <w:szCs w:val="18"/>
        </w:rPr>
        <w:t>Accepted</w:t>
      </w:r>
      <w:r w:rsidRPr="00D0114A">
        <w:rPr>
          <w:rFonts w:ascii="Cambria Math" w:hAnsi="Cambria Math" w:cs="Times New Roman"/>
          <w:sz w:val="18"/>
          <w:szCs w:val="18"/>
        </w:rPr>
        <w:t>)</w:t>
      </w:r>
    </w:p>
    <w:p w:rsidR="00EC5B17" w:rsidRPr="00EC5B17" w:rsidRDefault="00EC5B17" w:rsidP="00EC5B17">
      <w:pPr>
        <w:pStyle w:val="ListParagraph"/>
        <w:rPr>
          <w:rFonts w:ascii="Cambria Math" w:hAnsi="Cambria Math" w:cs="Times New Roman"/>
          <w:sz w:val="18"/>
          <w:szCs w:val="18"/>
        </w:rPr>
      </w:pPr>
    </w:p>
    <w:p w:rsidR="00EC5B17" w:rsidRPr="00EC5B17" w:rsidRDefault="00EC5B17" w:rsidP="00EC5B17">
      <w:pPr>
        <w:widowControl/>
        <w:tabs>
          <w:tab w:val="center" w:pos="4680"/>
          <w:tab w:val="left" w:pos="8064"/>
        </w:tabs>
        <w:contextualSpacing/>
        <w:rPr>
          <w:rFonts w:ascii="Cambria Math" w:hAnsi="Cambria Math" w:cs="Times New Roman"/>
          <w:sz w:val="18"/>
          <w:szCs w:val="18"/>
        </w:rPr>
      </w:pPr>
    </w:p>
    <w:p w:rsidR="00AE3E37" w:rsidRPr="00D0114A" w:rsidRDefault="00EC5B17" w:rsidP="00EC5B17">
      <w:pPr>
        <w:tabs>
          <w:tab w:val="left" w:pos="384"/>
        </w:tabs>
        <w:ind w:right="117"/>
        <w:jc w:val="center"/>
        <w:rPr>
          <w:sz w:val="18"/>
          <w:szCs w:val="18"/>
        </w:rPr>
      </w:pPr>
      <w:r w:rsidRPr="00EC5B17">
        <w:rPr>
          <w:sz w:val="18"/>
          <w:szCs w:val="18"/>
        </w:rPr>
        <w:drawing>
          <wp:inline distT="0" distB="0" distL="0" distR="0">
            <wp:extent cx="1085850" cy="1409700"/>
            <wp:effectExtent l="19050" t="0" r="0" b="0"/>
            <wp:docPr id="4" name="Picture 1" descr="D:\Documents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pictur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91" cy="1413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9A44A2">
      <w:pPr>
        <w:pStyle w:val="BodyText"/>
        <w:spacing w:line="40" w:lineRule="exact"/>
        <w:ind w:left="2202"/>
        <w:rPr>
          <w:rFonts w:ascii="Calibri"/>
          <w:sz w:val="4"/>
        </w:rPr>
      </w:pPr>
      <w:r w:rsidRPr="009A44A2">
        <w:rPr>
          <w:rFonts w:ascii="Calibri"/>
          <w:noProof/>
          <w:sz w:val="4"/>
          <w:lang w:val="en-IN" w:eastAsia="en-IN"/>
        </w:rPr>
      </w:r>
      <w:r w:rsidRPr="009A44A2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F7211D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5B1BCF" w:rsidRPr="00F21FA0" w:rsidRDefault="005B1BCF" w:rsidP="005B1BCF">
      <w:pPr>
        <w:jc w:val="both"/>
        <w:rPr>
          <w:rFonts w:ascii="Cambria Math" w:hAnsi="Cambria Math"/>
          <w:sz w:val="20"/>
          <w:szCs w:val="20"/>
        </w:rPr>
      </w:pPr>
      <w:proofErr w:type="spellStart"/>
      <w:r w:rsidRPr="00F21FA0">
        <w:rPr>
          <w:rFonts w:ascii="Cambria Math" w:hAnsi="Cambria Math"/>
          <w:sz w:val="20"/>
          <w:szCs w:val="20"/>
        </w:rPr>
        <w:t>Meharie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</w:t>
      </w:r>
      <w:proofErr w:type="spellStart"/>
      <w:r w:rsidRPr="00F21FA0">
        <w:rPr>
          <w:rFonts w:ascii="Cambria Math" w:hAnsi="Cambria Math"/>
          <w:sz w:val="20"/>
          <w:szCs w:val="20"/>
        </w:rPr>
        <w:t>Kassie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has completed his </w:t>
      </w:r>
      <w:proofErr w:type="spellStart"/>
      <w:r w:rsidRPr="00F21FA0">
        <w:rPr>
          <w:rFonts w:ascii="Cambria Math" w:hAnsi="Cambria Math"/>
          <w:sz w:val="20"/>
          <w:szCs w:val="20"/>
        </w:rPr>
        <w:t>MSc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at the age of 27 years from </w:t>
      </w:r>
      <w:proofErr w:type="spellStart"/>
      <w:r w:rsidRPr="00F21FA0">
        <w:rPr>
          <w:rFonts w:ascii="Cambria Math" w:hAnsi="Cambria Math"/>
          <w:sz w:val="20"/>
          <w:szCs w:val="20"/>
        </w:rPr>
        <w:t>Haramaya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University, Ethiopia. He is lecturer and researcher in </w:t>
      </w:r>
      <w:proofErr w:type="spellStart"/>
      <w:r w:rsidRPr="00F21FA0">
        <w:rPr>
          <w:rFonts w:ascii="Cambria Math" w:hAnsi="Cambria Math"/>
          <w:sz w:val="20"/>
          <w:szCs w:val="20"/>
        </w:rPr>
        <w:t>Arsi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University, College of Agriculture and Environmental Sciences. He has published 3 papers in reputed journals.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Pr="00357A79" w:rsidRDefault="00A9710C" w:rsidP="005B1BCF">
      <w:pPr>
        <w:spacing w:before="62"/>
        <w:ind w:left="2160" w:right="4235" w:firstLine="720"/>
        <w:rPr>
          <w:rFonts w:ascii="Arial"/>
          <w:sz w:val="20"/>
          <w:szCs w:val="20"/>
        </w:rPr>
      </w:pPr>
      <w:r w:rsidRPr="00357A79">
        <w:rPr>
          <w:rFonts w:ascii="Arial"/>
          <w:sz w:val="20"/>
          <w:szCs w:val="20"/>
        </w:rPr>
        <w:t>Email:</w:t>
      </w:r>
      <w:r w:rsidR="005B1BCF" w:rsidRPr="00357A79">
        <w:rPr>
          <w:rFonts w:ascii="Arial"/>
          <w:sz w:val="20"/>
          <w:szCs w:val="20"/>
        </w:rPr>
        <w:t xml:space="preserve"> </w:t>
      </w:r>
      <w:r w:rsidR="005B1BCF" w:rsidRPr="00357A79">
        <w:rPr>
          <w:rFonts w:ascii="Cambria Math" w:hAnsi="Cambria Math"/>
          <w:sz w:val="20"/>
          <w:szCs w:val="20"/>
          <w:lang w:val="en-NZ"/>
        </w:rPr>
        <w:t>mehariget12@gmail.com</w:t>
      </w:r>
    </w:p>
    <w:p w:rsidR="00AE3E37" w:rsidRPr="00357A79" w:rsidRDefault="009A44A2">
      <w:pPr>
        <w:pStyle w:val="BodyText"/>
        <w:spacing w:before="2"/>
        <w:rPr>
          <w:rFonts w:ascii="Arial"/>
          <w:sz w:val="20"/>
          <w:szCs w:val="20"/>
        </w:rPr>
      </w:pPr>
      <w:r w:rsidRPr="00357A79">
        <w:rPr>
          <w:noProof/>
          <w:sz w:val="20"/>
          <w:szCs w:val="20"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sectPr w:rsidR="00AE3E37" w:rsidSect="00011F6E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471" w:rsidRDefault="00E95471">
      <w:r>
        <w:separator/>
      </w:r>
    </w:p>
  </w:endnote>
  <w:endnote w:type="continuationSeparator" w:id="0">
    <w:p w:rsidR="00E95471" w:rsidRDefault="00E954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rte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dvOT5fcf1b2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A44A2">
    <w:pPr>
      <w:pStyle w:val="BodyText"/>
      <w:spacing w:line="14" w:lineRule="auto"/>
      <w:rPr>
        <w:sz w:val="20"/>
      </w:rPr>
    </w:pPr>
    <w:r w:rsidRPr="009A44A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9A44A2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A44A2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471" w:rsidRDefault="00E95471">
      <w:r>
        <w:separator/>
      </w:r>
    </w:p>
  </w:footnote>
  <w:footnote w:type="continuationSeparator" w:id="0">
    <w:p w:rsidR="00E95471" w:rsidRDefault="00E954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A44A2">
    <w:pPr>
      <w:pStyle w:val="BodyText"/>
      <w:spacing w:line="14" w:lineRule="auto"/>
      <w:rPr>
        <w:sz w:val="20"/>
      </w:rPr>
    </w:pPr>
    <w:r w:rsidRPr="009A44A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A44A2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A9560FF"/>
    <w:multiLevelType w:val="hybridMultilevel"/>
    <w:tmpl w:val="D00031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11F6E"/>
    <w:rsid w:val="0006733F"/>
    <w:rsid w:val="000E2911"/>
    <w:rsid w:val="001263DF"/>
    <w:rsid w:val="002455EC"/>
    <w:rsid w:val="00292ED9"/>
    <w:rsid w:val="00357A79"/>
    <w:rsid w:val="00404E5B"/>
    <w:rsid w:val="00414F7B"/>
    <w:rsid w:val="004355DC"/>
    <w:rsid w:val="004749B4"/>
    <w:rsid w:val="00494130"/>
    <w:rsid w:val="004F3523"/>
    <w:rsid w:val="005973B9"/>
    <w:rsid w:val="005B1BCF"/>
    <w:rsid w:val="005B3A56"/>
    <w:rsid w:val="006060CE"/>
    <w:rsid w:val="0063497F"/>
    <w:rsid w:val="006C2610"/>
    <w:rsid w:val="00873DF0"/>
    <w:rsid w:val="008756E6"/>
    <w:rsid w:val="008A08B6"/>
    <w:rsid w:val="009436C7"/>
    <w:rsid w:val="009A44A2"/>
    <w:rsid w:val="009B2D44"/>
    <w:rsid w:val="00A07E82"/>
    <w:rsid w:val="00A9710C"/>
    <w:rsid w:val="00AE3E37"/>
    <w:rsid w:val="00B21A57"/>
    <w:rsid w:val="00BD0008"/>
    <w:rsid w:val="00C33602"/>
    <w:rsid w:val="00CD6F55"/>
    <w:rsid w:val="00D0114A"/>
    <w:rsid w:val="00D37DD1"/>
    <w:rsid w:val="00D462F5"/>
    <w:rsid w:val="00DE3104"/>
    <w:rsid w:val="00E26B10"/>
    <w:rsid w:val="00E95471"/>
    <w:rsid w:val="00EC5B17"/>
    <w:rsid w:val="00F5705D"/>
    <w:rsid w:val="00F70C3B"/>
    <w:rsid w:val="00F7211D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Getasew</cp:lastModifiedBy>
  <cp:revision>14</cp:revision>
  <dcterms:created xsi:type="dcterms:W3CDTF">2019-04-25T15:42:00Z</dcterms:created>
  <dcterms:modified xsi:type="dcterms:W3CDTF">2019-04-26T10:51:00Z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