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00B" w:rsidRDefault="00117874" w:rsidP="00117874">
      <w:pPr>
        <w:jc w:val="center"/>
        <w:rPr>
          <w:lang w:val="en-US"/>
        </w:rPr>
      </w:pPr>
      <w:r>
        <w:rPr>
          <w:lang w:val="en-US"/>
        </w:rPr>
        <w:t>Enter or Exit: Farming Environments in Ontario, Canada</w:t>
      </w:r>
    </w:p>
    <w:p w:rsidR="00190FE1" w:rsidRDefault="00190FE1" w:rsidP="00117874">
      <w:pPr>
        <w:jc w:val="center"/>
        <w:rPr>
          <w:lang w:val="en-US"/>
        </w:rPr>
      </w:pPr>
    </w:p>
    <w:p w:rsidR="00190FE1" w:rsidRDefault="00190FE1" w:rsidP="00117874">
      <w:pPr>
        <w:jc w:val="center"/>
        <w:rPr>
          <w:lang w:val="en-US"/>
        </w:rPr>
      </w:pPr>
      <w:r>
        <w:rPr>
          <w:lang w:val="en-US"/>
        </w:rPr>
        <w:t xml:space="preserve">By: Dr. Agostino </w:t>
      </w:r>
      <w:proofErr w:type="spellStart"/>
      <w:r>
        <w:rPr>
          <w:lang w:val="en-US"/>
        </w:rPr>
        <w:t>Menna</w:t>
      </w:r>
      <w:proofErr w:type="spellEnd"/>
    </w:p>
    <w:p w:rsidR="00117874" w:rsidRDefault="00117874">
      <w:pPr>
        <w:rPr>
          <w:lang w:val="en-US"/>
        </w:rPr>
      </w:pPr>
    </w:p>
    <w:p w:rsidR="00117874" w:rsidRDefault="00117874" w:rsidP="00117874">
      <w:pPr>
        <w:ind w:firstLine="720"/>
      </w:pPr>
      <w:r>
        <w:t xml:space="preserve">Recognizing the importance of SMEs to the diversification of agriculture </w:t>
      </w:r>
      <w:r>
        <w:t>in Ontario</w:t>
      </w:r>
      <w:r>
        <w:t xml:space="preserve">, the central objective of this study is to develop a conceptual framework for classifying agriculture environments </w:t>
      </w:r>
      <w:r>
        <w:t xml:space="preserve">using profitability ratios </w:t>
      </w:r>
      <w:r w:rsidR="006E62AA">
        <w:t>f</w:t>
      </w:r>
      <w:r>
        <w:t xml:space="preserve">or the </w:t>
      </w:r>
      <w:proofErr w:type="gramStart"/>
      <w:r>
        <w:t>environment</w:t>
      </w:r>
      <w:r w:rsidR="006E62AA">
        <w:t>s</w:t>
      </w:r>
      <w:proofErr w:type="gramEnd"/>
      <w:r>
        <w:t xml:space="preserve"> </w:t>
      </w:r>
      <w:r>
        <w:t xml:space="preserve">farmers find </w:t>
      </w:r>
      <w:r>
        <w:t>themselves in</w:t>
      </w:r>
      <w:r>
        <w:t xml:space="preserve"> the Province of Ontario</w:t>
      </w:r>
      <w:r>
        <w:t xml:space="preserve">.  A comprehensive investigation of the general literature dealing with commercialization strategies was undertaken to identify appropriate theoretical constructs and provide empirical support from which to develop this agriculture framework.  From that review, it was ascertained </w:t>
      </w:r>
      <w:r>
        <w:t xml:space="preserve">decisions to enter or exit farming </w:t>
      </w:r>
      <w:r>
        <w:t>environments are influence</w:t>
      </w:r>
      <w:r>
        <w:t xml:space="preserve">d by profitability </w:t>
      </w:r>
      <w:r>
        <w:t xml:space="preserve">which dictates the choice of strategy, </w:t>
      </w:r>
      <w:r>
        <w:t xml:space="preserve">future investment and </w:t>
      </w:r>
      <w:r>
        <w:t xml:space="preserve">level of commercial risk </w:t>
      </w:r>
      <w:r w:rsidR="006E62AA">
        <w:t>f</w:t>
      </w:r>
      <w:bookmarkStart w:id="0" w:name="_GoBack"/>
      <w:bookmarkEnd w:id="0"/>
      <w:r>
        <w:t>acing farms and farm start-ups (</w:t>
      </w:r>
      <w:proofErr w:type="spellStart"/>
      <w:r>
        <w:t>Diederen</w:t>
      </w:r>
      <w:proofErr w:type="spellEnd"/>
      <w:r>
        <w:t xml:space="preserve"> et. al., 2003; Walsh, 2012).  Moreover, </w:t>
      </w:r>
      <w:r>
        <w:t xml:space="preserve">profitability </w:t>
      </w:r>
      <w:r>
        <w:t xml:space="preserve">environments in this study are defined as </w:t>
      </w:r>
      <w:r>
        <w:t xml:space="preserve">net profit margin and operating expenses as a percentage of sales.  </w:t>
      </w:r>
      <w:r>
        <w:t xml:space="preserve">Another objective of this study is to determine if certain </w:t>
      </w:r>
      <w:r>
        <w:t>regions in Ontario</w:t>
      </w:r>
      <w:r>
        <w:t xml:space="preserve"> encourage or discourage agriculture entrepreneurial opportunities by establishing appropriate agriculture market metrics to help identify which agriculture commercialization environments exists within those </w:t>
      </w:r>
      <w:r>
        <w:t>regions</w:t>
      </w:r>
      <w:r>
        <w:t xml:space="preserve">.   </w:t>
      </w:r>
      <w:r>
        <w:t>Data</w:t>
      </w:r>
      <w:r>
        <w:t xml:space="preserve"> were derived</w:t>
      </w:r>
      <w:r>
        <w:t xml:space="preserve"> from the Ontario Ministry of Agriculture, Food and Rural Affairs</w:t>
      </w:r>
      <w:r w:rsidRPr="003647D9">
        <w:rPr>
          <w:color w:val="000000" w:themeColor="text1"/>
        </w:rPr>
        <w:t xml:space="preserve">.  </w:t>
      </w:r>
      <w:r>
        <w:t xml:space="preserve">A cluster analysis was applied to distribute these </w:t>
      </w:r>
      <w:r w:rsidR="00190FE1">
        <w:t>regions</w:t>
      </w:r>
      <w:r>
        <w:t xml:space="preserve"> into their respective agriculture </w:t>
      </w:r>
      <w:r w:rsidR="00190FE1">
        <w:t>profitability</w:t>
      </w:r>
      <w:r>
        <w:t xml:space="preserve"> environments.  </w:t>
      </w:r>
    </w:p>
    <w:p w:rsidR="00117874" w:rsidRDefault="00117874" w:rsidP="00117874"/>
    <w:p w:rsidR="00117874" w:rsidRDefault="00117874" w:rsidP="00117874">
      <w:r>
        <w:tab/>
        <w:t xml:space="preserve">This study advances research in agriculture entrepreneurship for three reasons.  First, the conceptual framework displays the diversity in </w:t>
      </w:r>
      <w:r w:rsidR="00190FE1">
        <w:t xml:space="preserve">Ontario’s </w:t>
      </w:r>
      <w:r>
        <w:t xml:space="preserve">farming in an aggregated approach using </w:t>
      </w:r>
      <w:r w:rsidR="00190FE1">
        <w:t xml:space="preserve">profitability </w:t>
      </w:r>
      <w:r>
        <w:t xml:space="preserve">environments.  Second, it identifies commercialization strategies for agriculture entrepreneurs from a systems approach in agriculture and finally, using the established framework this study provides an indication of which commercialization strategies are best applied in </w:t>
      </w:r>
      <w:r w:rsidR="00190FE1">
        <w:t>Ontario</w:t>
      </w:r>
      <w:r>
        <w:t xml:space="preserve">. </w:t>
      </w:r>
    </w:p>
    <w:p w:rsidR="00117874" w:rsidRDefault="00117874" w:rsidP="00117874"/>
    <w:p w:rsidR="00117874" w:rsidRPr="00117874" w:rsidRDefault="00117874">
      <w:pPr>
        <w:rPr>
          <w:lang w:val="en-US"/>
        </w:rPr>
      </w:pPr>
    </w:p>
    <w:sectPr w:rsidR="00117874" w:rsidRPr="00117874" w:rsidSect="006072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74"/>
    <w:rsid w:val="00117874"/>
    <w:rsid w:val="00190FE1"/>
    <w:rsid w:val="004B300B"/>
    <w:rsid w:val="004E4860"/>
    <w:rsid w:val="006072B0"/>
    <w:rsid w:val="006E62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800A07F"/>
  <w15:chartTrackingRefBased/>
  <w15:docId w15:val="{A41CCDB9-14F7-F849-BF69-77499FA4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2019-04-29T18:34:00Z</dcterms:created>
  <dcterms:modified xsi:type="dcterms:W3CDTF">2019-04-29T18:51:00Z</dcterms:modified>
</cp:coreProperties>
</file>