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755" w:type="dxa"/>
        <w:tblLayout w:type="fixed"/>
        <w:tblLook w:val="0000" w:firstRow="0" w:lastRow="0" w:firstColumn="0" w:lastColumn="0" w:noHBand="0" w:noVBand="0"/>
      </w:tblPr>
      <w:tblGrid>
        <w:gridCol w:w="8755"/>
      </w:tblGrid>
      <w:tr w:rsidR="006D6E17" w:rsidTr="0031029A">
        <w:tc>
          <w:tcPr>
            <w:tcW w:w="8755" w:type="dxa"/>
            <w:tcBorders>
              <w:bottom w:val="single" w:sz="12" w:space="0" w:color="auto"/>
            </w:tcBorders>
          </w:tcPr>
          <w:p w:rsidR="006D6E17" w:rsidRPr="009A16A2" w:rsidRDefault="006D6E17" w:rsidP="0031029A">
            <w:pPr>
              <w:rPr>
                <w:b/>
                <w:bCs/>
              </w:rPr>
            </w:pPr>
            <w:r>
              <w:rPr>
                <w:b/>
                <w:bCs/>
              </w:rPr>
              <w:t>Title:</w:t>
            </w:r>
          </w:p>
        </w:tc>
      </w:tr>
      <w:tr w:rsidR="006D6E17" w:rsidTr="0031029A">
        <w:trPr>
          <w:trHeight w:val="567"/>
        </w:trPr>
        <w:tc>
          <w:tcPr>
            <w:tcW w:w="8755" w:type="dxa"/>
            <w:tcBorders>
              <w:top w:val="single" w:sz="12" w:space="0" w:color="auto"/>
              <w:left w:val="single" w:sz="12" w:space="0" w:color="auto"/>
              <w:bottom w:val="single" w:sz="12" w:space="0" w:color="auto"/>
              <w:right w:val="single" w:sz="12" w:space="0" w:color="auto"/>
            </w:tcBorders>
            <w:shd w:val="clear" w:color="auto" w:fill="F3F3F3"/>
          </w:tcPr>
          <w:p w:rsidR="006D6E17" w:rsidRPr="00144E12" w:rsidRDefault="006D6E17" w:rsidP="0031029A">
            <w:pPr>
              <w:autoSpaceDE w:val="0"/>
              <w:autoSpaceDN w:val="0"/>
              <w:adjustRightInd w:val="0"/>
              <w:rPr>
                <w:b/>
              </w:rPr>
            </w:pPr>
            <w:r>
              <w:rPr>
                <w:b/>
              </w:rPr>
              <w:t>EVALUATION OF CITRUS ROOTSTOCKS AGAINST DROUGHT STRESS</w:t>
            </w:r>
          </w:p>
        </w:tc>
      </w:tr>
      <w:tr w:rsidR="006D6E17" w:rsidRPr="0028306B" w:rsidTr="0031029A">
        <w:tc>
          <w:tcPr>
            <w:tcW w:w="8755" w:type="dxa"/>
            <w:tcBorders>
              <w:top w:val="single" w:sz="12" w:space="0" w:color="auto"/>
              <w:bottom w:val="single" w:sz="12" w:space="0" w:color="auto"/>
            </w:tcBorders>
          </w:tcPr>
          <w:p w:rsidR="006D6E17" w:rsidRPr="00B075E4" w:rsidRDefault="006D6E17" w:rsidP="0031029A">
            <w:pPr>
              <w:rPr>
                <w:bCs/>
                <w:sz w:val="16"/>
                <w:szCs w:val="16"/>
              </w:rPr>
            </w:pPr>
          </w:p>
        </w:tc>
      </w:tr>
      <w:tr w:rsidR="006D6E17" w:rsidTr="0031029A">
        <w:trPr>
          <w:trHeight w:val="763"/>
        </w:trPr>
        <w:tc>
          <w:tcPr>
            <w:tcW w:w="8755" w:type="dxa"/>
            <w:tcBorders>
              <w:top w:val="single" w:sz="12" w:space="0" w:color="auto"/>
              <w:left w:val="single" w:sz="12" w:space="0" w:color="auto"/>
              <w:bottom w:val="single" w:sz="12" w:space="0" w:color="auto"/>
              <w:right w:val="single" w:sz="12" w:space="0" w:color="auto"/>
            </w:tcBorders>
            <w:shd w:val="clear" w:color="auto" w:fill="F3F3F3"/>
          </w:tcPr>
          <w:p w:rsidR="006D6E17" w:rsidRDefault="006D6E17" w:rsidP="0031029A">
            <w:pPr>
              <w:spacing w:after="192" w:line="259" w:lineRule="auto"/>
              <w:ind w:left="166"/>
              <w:jc w:val="center"/>
            </w:pPr>
            <w:proofErr w:type="spellStart"/>
            <w:r>
              <w:rPr>
                <w:b/>
                <w:i/>
                <w:sz w:val="22"/>
              </w:rPr>
              <w:t>Waqar</w:t>
            </w:r>
            <w:proofErr w:type="spellEnd"/>
            <w:r>
              <w:rPr>
                <w:b/>
                <w:i/>
                <w:sz w:val="22"/>
              </w:rPr>
              <w:t xml:space="preserve"> shafqat</w:t>
            </w:r>
            <w:r>
              <w:rPr>
                <w:b/>
                <w:sz w:val="22"/>
                <w:vertAlign w:val="superscript"/>
              </w:rPr>
              <w:t>1</w:t>
            </w:r>
            <w:r>
              <w:rPr>
                <w:b/>
                <w:i/>
                <w:sz w:val="22"/>
              </w:rPr>
              <w:t xml:space="preserve">, Muhammad </w:t>
            </w:r>
            <w:proofErr w:type="spellStart"/>
            <w:r>
              <w:rPr>
                <w:b/>
                <w:i/>
                <w:sz w:val="22"/>
              </w:rPr>
              <w:t>Jafar</w:t>
            </w:r>
            <w:proofErr w:type="spellEnd"/>
            <w:r>
              <w:rPr>
                <w:b/>
                <w:i/>
                <w:sz w:val="22"/>
              </w:rPr>
              <w:t xml:space="preserve"> Jaskani</w:t>
            </w:r>
            <w:r>
              <w:rPr>
                <w:b/>
                <w:sz w:val="22"/>
                <w:vertAlign w:val="superscript"/>
              </w:rPr>
              <w:t>1</w:t>
            </w:r>
            <w:r>
              <w:rPr>
                <w:b/>
                <w:i/>
                <w:sz w:val="22"/>
              </w:rPr>
              <w:t xml:space="preserve">, </w:t>
            </w:r>
            <w:proofErr w:type="spellStart"/>
            <w:r>
              <w:rPr>
                <w:b/>
                <w:i/>
                <w:sz w:val="22"/>
              </w:rPr>
              <w:t>Rizwana</w:t>
            </w:r>
            <w:proofErr w:type="spellEnd"/>
            <w:r>
              <w:rPr>
                <w:b/>
                <w:i/>
                <w:sz w:val="22"/>
              </w:rPr>
              <w:t xml:space="preserve"> Maqbool</w:t>
            </w:r>
            <w:r>
              <w:rPr>
                <w:b/>
                <w:sz w:val="22"/>
                <w:vertAlign w:val="superscript"/>
              </w:rPr>
              <w:t>2</w:t>
            </w:r>
            <w:r>
              <w:rPr>
                <w:b/>
                <w:i/>
                <w:sz w:val="22"/>
              </w:rPr>
              <w:t>, Zulfiqar Ali</w:t>
            </w:r>
            <w:r>
              <w:rPr>
                <w:b/>
                <w:sz w:val="22"/>
                <w:vertAlign w:val="superscript"/>
              </w:rPr>
              <w:t>2</w:t>
            </w:r>
          </w:p>
          <w:p w:rsidR="006D6E17" w:rsidRDefault="006D6E17" w:rsidP="0031029A">
            <w:pPr>
              <w:spacing w:line="259" w:lineRule="auto"/>
              <w:ind w:right="4"/>
              <w:jc w:val="center"/>
            </w:pPr>
            <w:r>
              <w:rPr>
                <w:vertAlign w:val="superscript"/>
              </w:rPr>
              <w:t>1</w:t>
            </w:r>
            <w:r>
              <w:rPr>
                <w:i/>
              </w:rPr>
              <w:t>Institute of Horticultural sciences, University of Agriculture, Faisalabad, Pakistan</w:t>
            </w:r>
            <w:r>
              <w:t xml:space="preserve"> </w:t>
            </w:r>
          </w:p>
          <w:p w:rsidR="006D6E17" w:rsidRDefault="006D6E17" w:rsidP="0031029A">
            <w:pPr>
              <w:spacing w:line="259" w:lineRule="auto"/>
              <w:ind w:left="170"/>
            </w:pPr>
            <w:r>
              <w:rPr>
                <w:vertAlign w:val="superscript"/>
              </w:rPr>
              <w:t>2</w:t>
            </w:r>
            <w:r>
              <w:rPr>
                <w:i/>
              </w:rPr>
              <w:t xml:space="preserve">Department of Plant Breeding and Genetics, University of Agriculture, Faisalabad, Pakistan </w:t>
            </w:r>
          </w:p>
          <w:p w:rsidR="006D6E17" w:rsidRPr="00946B2A" w:rsidRDefault="006D6E17" w:rsidP="0031029A">
            <w:pPr>
              <w:spacing w:line="276" w:lineRule="auto"/>
              <w:jc w:val="center"/>
              <w:rPr>
                <w:bCs/>
                <w:color w:val="000000"/>
                <w:kern w:val="24"/>
                <w:sz w:val="22"/>
                <w:szCs w:val="22"/>
              </w:rPr>
            </w:pPr>
          </w:p>
        </w:tc>
      </w:tr>
      <w:tr w:rsidR="006D6E17" w:rsidTr="0031029A">
        <w:tc>
          <w:tcPr>
            <w:tcW w:w="8755" w:type="dxa"/>
            <w:tcBorders>
              <w:top w:val="single" w:sz="12" w:space="0" w:color="auto"/>
              <w:bottom w:val="single" w:sz="12" w:space="0" w:color="auto"/>
            </w:tcBorders>
          </w:tcPr>
          <w:p w:rsidR="006D6E17" w:rsidRPr="0023438E" w:rsidRDefault="006D6E17" w:rsidP="0031029A">
            <w:pPr>
              <w:rPr>
                <w:sz w:val="16"/>
                <w:szCs w:val="16"/>
                <w:highlight w:val="yellow"/>
              </w:rPr>
            </w:pPr>
          </w:p>
        </w:tc>
      </w:tr>
      <w:tr w:rsidR="006D6E17" w:rsidTr="0031029A">
        <w:trPr>
          <w:trHeight w:val="7371"/>
        </w:trPr>
        <w:tc>
          <w:tcPr>
            <w:tcW w:w="8755" w:type="dxa"/>
            <w:tcBorders>
              <w:top w:val="single" w:sz="12" w:space="0" w:color="auto"/>
              <w:left w:val="single" w:sz="12" w:space="0" w:color="auto"/>
              <w:bottom w:val="single" w:sz="12" w:space="0" w:color="auto"/>
              <w:right w:val="single" w:sz="12" w:space="0" w:color="auto"/>
            </w:tcBorders>
            <w:shd w:val="clear" w:color="auto" w:fill="F3F3F3"/>
          </w:tcPr>
          <w:p w:rsidR="006D6E17" w:rsidRPr="009C1F95" w:rsidRDefault="006D6E17" w:rsidP="0031029A">
            <w:pPr>
              <w:spacing w:line="360" w:lineRule="auto"/>
              <w:ind w:right="34"/>
              <w:jc w:val="both"/>
            </w:pPr>
            <w:r w:rsidRPr="00DF2184">
              <w:t xml:space="preserve">Drought is an environmental condition which negatively affects plant growth, yield and considered as significant cause of production loss worldwide. Citrus (Citrus spp. Family; </w:t>
            </w:r>
            <w:proofErr w:type="spellStart"/>
            <w:r w:rsidRPr="00DF2184">
              <w:t>Rutaceae</w:t>
            </w:r>
            <w:proofErr w:type="spellEnd"/>
            <w:r w:rsidRPr="00DF2184">
              <w:t xml:space="preserve">) is the main fruit tree crop has two tree parts; Scion or fruit bearing portion and Rootstock provide tree root portion. The selection of scion and rootstock combination is an essentially permanent decision with lifelong ramifications for tree health and management. The effect of rootstocks is particularly significant on tree nutrition, growth </w:t>
            </w:r>
            <w:proofErr w:type="spellStart"/>
            <w:r w:rsidRPr="00DF2184">
              <w:t>vigor</w:t>
            </w:r>
            <w:proofErr w:type="spellEnd"/>
            <w:r w:rsidRPr="00DF2184">
              <w:t xml:space="preserve">, stress resistance, and fruit quality of the scion. We need to focus on citrus rootstock against the drought stress. This study was conducted to screen out various modern citrus rootstocks including local commercial rootstocks against the drought. Drought was induced based on field capacity of citrus rootstock relative to water requirement of citrus and hence 75% field capacity was considered as control and subsequently developed two level, moderate drought (50% field capacity) and severe drought (25% field capacity). Three-month-old uniform seedlings were selected for the stress treatments. Gas exchange parameters were recorded at four different times (0, 5, 10 and 15 days). Horticultural parameters, plant water status and chlorophyll absorption at different wavelength was recorded after 15 days of drought stress. Citrus rootstocks showed significant response at various levels and duration of drought stress. Relative to control plants, gas exchange parameters like photosynthetic rate and stomatal conductance reduced at both stress levels and gas exchange was poor at 10 and 15 days. Leaf internal temperature increased due to drought stress. Plant water status like moisture level and water potential also reduced with increased drought stress. The most promising drought tolerant rootstocks were Brazilian sour orange and Keen sour orange. Sovage citrange and Yuma citrange were the most sensitive to drought.  </w:t>
            </w:r>
          </w:p>
        </w:tc>
      </w:tr>
    </w:tbl>
    <w:p w:rsidR="00D13782" w:rsidRDefault="00D13782">
      <w:bookmarkStart w:id="0" w:name="_GoBack"/>
      <w:bookmarkEnd w:id="0"/>
    </w:p>
    <w:sectPr w:rsidR="00D137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E17"/>
    <w:rsid w:val="006D6E17"/>
    <w:rsid w:val="00D13782"/>
    <w:rsid w:val="00FD3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9DAB68-FC2E-4DEA-8F54-5835B4D28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E17"/>
    <w:pPr>
      <w:spacing w:after="0" w:line="240" w:lineRule="auto"/>
    </w:pPr>
    <w:rPr>
      <w:rFonts w:ascii="Times New Roman" w:eastAsia="Times New Roman" w:hAnsi="Times New Roman" w:cs="Times New Roman"/>
      <w:sz w:val="2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CENTER</dc:creator>
  <cp:keywords/>
  <dc:description/>
  <cp:lastModifiedBy>DELL CENTER</cp:lastModifiedBy>
  <cp:revision>1</cp:revision>
  <dcterms:created xsi:type="dcterms:W3CDTF">2018-10-22T17:19:00Z</dcterms:created>
  <dcterms:modified xsi:type="dcterms:W3CDTF">2018-10-22T17:20:00Z</dcterms:modified>
</cp:coreProperties>
</file>