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3AF" w:rsidRPr="003B23AF" w:rsidRDefault="00455EDC" w:rsidP="003B23AF">
      <w:pPr>
        <w:pStyle w:val="Heading1"/>
        <w:spacing w:before="170"/>
        <w:rPr>
          <w:color w:val="337AB7"/>
        </w:rPr>
      </w:pPr>
      <w:r w:rsidRPr="00455EDC">
        <w:rPr>
          <w:color w:val="337AB7"/>
          <w:lang w:val="en-IN"/>
        </w:rPr>
        <w:t>U</w:t>
      </w:r>
      <w:r w:rsidR="003B23AF" w:rsidRPr="003B23AF">
        <w:rPr>
          <w:rFonts w:ascii="Times New Roman" w:eastAsia="Calibri" w:hAnsi="Times New Roman" w:cs="Times New Roman"/>
          <w:b w:val="0"/>
          <w:bCs w:val="0"/>
          <w:i/>
          <w:iCs/>
        </w:rPr>
        <w:t xml:space="preserve"> </w:t>
      </w:r>
      <w:r w:rsidR="003B23AF" w:rsidRPr="003B23AF">
        <w:rPr>
          <w:i/>
          <w:iCs/>
          <w:color w:val="337AB7"/>
        </w:rPr>
        <w:t>In vitro</w:t>
      </w:r>
      <w:r w:rsidR="003B23AF" w:rsidRPr="003B23AF">
        <w:rPr>
          <w:color w:val="337AB7"/>
        </w:rPr>
        <w:t xml:space="preserve"> propagation of UCB-1 (</w:t>
      </w:r>
      <w:r w:rsidR="003B23AF" w:rsidRPr="003B23AF">
        <w:rPr>
          <w:i/>
          <w:iCs/>
          <w:color w:val="337AB7"/>
        </w:rPr>
        <w:t>Pistacia integrima</w:t>
      </w:r>
      <w:r w:rsidR="003B23AF" w:rsidRPr="003B23AF">
        <w:rPr>
          <w:color w:val="337AB7"/>
        </w:rPr>
        <w:t xml:space="preserve"> × </w:t>
      </w:r>
      <w:r w:rsidR="003B23AF" w:rsidRPr="003B23AF">
        <w:rPr>
          <w:i/>
          <w:iCs/>
          <w:color w:val="337AB7"/>
        </w:rPr>
        <w:t>P. atlantica</w:t>
      </w:r>
      <w:r w:rsidR="003B23AF" w:rsidRPr="003B23AF">
        <w:rPr>
          <w:color w:val="337AB7"/>
        </w:rPr>
        <w:t>) to unravel main limiting factors</w:t>
      </w:r>
    </w:p>
    <w:p w:rsidR="003B23AF" w:rsidRPr="003B23AF" w:rsidRDefault="003B23AF" w:rsidP="003B23AF">
      <w:pPr>
        <w:pStyle w:val="BodyText"/>
        <w:ind w:left="100"/>
        <w:rPr>
          <w:rFonts w:ascii="Arial"/>
          <w:rtl/>
        </w:rPr>
      </w:pPr>
      <w:r>
        <w:rPr>
          <w:rFonts w:ascii="Arial"/>
        </w:rPr>
        <w:t xml:space="preserve">Nezami SR, M.Sc, </w:t>
      </w:r>
      <w:r w:rsidRPr="003B23AF">
        <w:rPr>
          <w:rFonts w:ascii="Arial"/>
          <w:lang w:val="en-IN"/>
        </w:rPr>
        <w:t>Tarbiat Modares University, Iran</w:t>
      </w:r>
    </w:p>
    <w:p w:rsidR="00455EDC" w:rsidRPr="00455EDC" w:rsidRDefault="00455EDC" w:rsidP="003B23AF">
      <w:pPr>
        <w:pStyle w:val="BodyText"/>
        <w:ind w:left="100"/>
        <w:rPr>
          <w:rFonts w:ascii="Arial"/>
        </w:rPr>
      </w:pPr>
      <w:r w:rsidRPr="00455EDC">
        <w:rPr>
          <w:rFonts w:ascii="Arial"/>
          <w:lang w:val="en-IN"/>
        </w:rPr>
        <w:t xml:space="preserve">Yadollahi A, </w:t>
      </w:r>
      <w:r w:rsidRPr="003B23AF">
        <w:rPr>
          <w:rFonts w:ascii="Arial"/>
          <w:lang w:val="en-IN"/>
        </w:rPr>
        <w:t>Ph.D, Tarbiat Modares University, Iran</w:t>
      </w:r>
    </w:p>
    <w:p w:rsidR="003B23AF" w:rsidRPr="003B23AF" w:rsidRDefault="003B23AF" w:rsidP="003B23AF">
      <w:pPr>
        <w:pStyle w:val="BodyText"/>
        <w:ind w:left="100"/>
        <w:rPr>
          <w:rFonts w:ascii="Arial" w:cstheme="minorBidi" w:hint="cs"/>
          <w:rtl/>
          <w:lang w:val="en-IN" w:bidi="fa-IR"/>
        </w:rPr>
      </w:pPr>
      <w:r>
        <w:rPr>
          <w:rFonts w:ascii="Arial"/>
          <w:lang w:val="en-IN"/>
        </w:rPr>
        <w:t xml:space="preserve">Hokmabadi H, Ph.D, </w:t>
      </w:r>
      <w:r w:rsidRPr="003B23AF">
        <w:rPr>
          <w:rFonts w:ascii="Arial"/>
          <w:lang w:val="en-IN"/>
        </w:rPr>
        <w:t>Agricultural Research,Education and Extension Organization</w:t>
      </w:r>
      <w:r>
        <w:rPr>
          <w:rFonts w:ascii="Arial"/>
          <w:lang w:val="en-IN"/>
        </w:rPr>
        <w:t>, Iran</w:t>
      </w:r>
    </w:p>
    <w:p w:rsidR="00455EDC" w:rsidRPr="00455EDC" w:rsidRDefault="00455EDC" w:rsidP="00455EDC">
      <w:pPr>
        <w:pStyle w:val="BodyText"/>
        <w:ind w:left="100"/>
        <w:rPr>
          <w:rFonts w:ascii="Arial"/>
        </w:rPr>
      </w:pPr>
      <w:r w:rsidRPr="00455EDC">
        <w:rPr>
          <w:rFonts w:ascii="Arial"/>
          <w:lang w:val="en-IN"/>
        </w:rPr>
        <w:t>Eftekhari</w:t>
      </w:r>
      <w:r w:rsidRPr="00455EDC">
        <w:rPr>
          <w:rFonts w:ascii="Arial"/>
          <w:vertAlign w:val="superscript"/>
          <w:lang w:val="en-IN"/>
        </w:rPr>
        <w:t xml:space="preserve"> </w:t>
      </w:r>
      <w:r w:rsidRPr="00455EDC">
        <w:rPr>
          <w:rFonts w:ascii="Arial"/>
          <w:lang w:val="en-IN"/>
        </w:rPr>
        <w:t xml:space="preserve">M, </w:t>
      </w:r>
      <w:r w:rsidRPr="00455EDC">
        <w:rPr>
          <w:rFonts w:ascii="Arial"/>
        </w:rPr>
        <w:t>Ph.D, Tarbiat Modares University,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9D6208">
        <w:rPr>
          <w:color w:val="BF5A14"/>
        </w:rPr>
        <w:t xml:space="preserve"> </w:t>
      </w:r>
    </w:p>
    <w:p w:rsidR="00511A0E" w:rsidRPr="00511A0E" w:rsidRDefault="00A9710C" w:rsidP="00511A0E">
      <w:pPr>
        <w:pStyle w:val="BodyText"/>
        <w:spacing w:before="90" w:line="280" w:lineRule="auto"/>
        <w:ind w:left="100"/>
        <w:jc w:val="both"/>
      </w:pPr>
      <w:r>
        <w:t xml:space="preserve">Statement of the Problem: </w:t>
      </w:r>
      <w:r w:rsidR="00317A5A" w:rsidRPr="00317A5A">
        <w:t xml:space="preserve">Pistachio is a perennial, deciduous and subtropical. Considering the prevalence of using seedlings as rootstock, there is an irregularity in pistachio orchards and it is necessary to use vegetative methods in propagation of rootstocks. ‘Badami’ and ‘Ghazvini’ are the most common used rootstocks in Iran. Recently, UCB-1 has been also considered as an appropriate one due to its noble features. Now, because of the limitation of importing its seeds to Iran, the only way of its propagation is by tissue culture. But pistachio micropropagation is problematic due to the phenol exudation and bacterial contamination problems in establishment phase, shoot tip necrosis in proliferation, low proliferation rate and especially being hard to root. In order to </w:t>
      </w:r>
      <w:r w:rsidR="00317A5A" w:rsidRPr="00317A5A">
        <w:rPr>
          <w:i/>
          <w:iCs/>
        </w:rPr>
        <w:t>in vitro</w:t>
      </w:r>
      <w:r w:rsidR="00317A5A" w:rsidRPr="00317A5A">
        <w:t xml:space="preserve"> propagation of this valuable rootstock, we carried out an experiment.</w:t>
      </w:r>
      <w:r w:rsidR="00317A5A">
        <w:rPr>
          <w:lang w:val="en-IN"/>
        </w:rPr>
        <w:t xml:space="preserve"> </w:t>
      </w:r>
      <w:r>
        <w:t>Methodolog</w:t>
      </w:r>
      <w:r w:rsidR="008756E6">
        <w:t xml:space="preserve">y &amp; Theoretical Orientation: </w:t>
      </w:r>
      <w:r w:rsidR="00511A0E" w:rsidRPr="00511A0E">
        <w:t>To overcome the contamination problem, we used different concentrations and immersion times of mercury chloride, sodium hypochlorite and chloramphenicol. Antioxidants, active charcoal, darkness and decreasing macro-nutrients concentration treatments were applied as controlling agents of phenol exudation. Modifying macro- and micro-elements</w:t>
      </w:r>
      <w:r w:rsidR="00511A0E" w:rsidRPr="00511A0E">
        <w:rPr>
          <w:rFonts w:ascii="Arial" w:hAnsi="Arial" w:cs="Arial"/>
        </w:rPr>
        <w:t>᾽</w:t>
      </w:r>
      <w:r w:rsidR="00511A0E" w:rsidRPr="00511A0E">
        <w:t xml:space="preserve"> concentration was applied to IMPROVE proliferation and controlling shoot tip necrosis. In rooting stage, we used treatments of Fe-sequesteron, putrescine, modifying different nutrients</w:t>
      </w:r>
      <w:r w:rsidR="00511A0E" w:rsidRPr="00511A0E">
        <w:rPr>
          <w:rFonts w:ascii="Arial" w:hAnsi="Arial" w:cs="Arial"/>
        </w:rPr>
        <w:t>᾽</w:t>
      </w:r>
      <w:r w:rsidR="00511A0E" w:rsidRPr="00511A0E">
        <w:t xml:space="preserve"> concentrations and using various types of auxins. Finally, darkening mother plant for 2 weeks with decreasing macro-nutrients</w:t>
      </w:r>
      <w:r w:rsidR="00511A0E" w:rsidRPr="00511A0E">
        <w:rPr>
          <w:rFonts w:ascii="Arial" w:hAnsi="Arial" w:cs="Arial"/>
        </w:rPr>
        <w:t>᾽</w:t>
      </w:r>
      <w:r w:rsidR="00511A0E" w:rsidRPr="00511A0E">
        <w:t xml:space="preserve"> concentration and immersing explants in 150 Mm ascorbic acid for 120 min and 60 min respectively before and after sterilization process showed the highest rate (100 percent regeneration) of controlling phenol exudation (100 percent explant without phenol).</w:t>
      </w:r>
      <w:r w:rsidR="00511A0E">
        <w:rPr>
          <w:lang w:val="en-IN"/>
        </w:rPr>
        <w:t xml:space="preserve"> </w:t>
      </w:r>
      <w:r w:rsidR="00511A0E">
        <w:t>Findings:</w:t>
      </w:r>
      <w:r w:rsidR="00511A0E">
        <w:t xml:space="preserve"> </w:t>
      </w:r>
      <w:r w:rsidR="00511A0E" w:rsidRPr="00511A0E">
        <w:t>The highest rooting was achieved in the half strength macro-nutrients of DKW (1/2 DKW) culture medium and 2 mg/l IBA, 150 mg/l fe-sequestron and 100 mg/l putrescine.</w:t>
      </w:r>
      <w:r w:rsidR="00511A0E">
        <w:rPr>
          <w:lang w:val="en-IN"/>
        </w:rPr>
        <w:t xml:space="preserve"> </w:t>
      </w:r>
      <w:r w:rsidR="00511A0E" w:rsidRPr="00511A0E">
        <w:t xml:space="preserve">Finally, rooted shoots (&gt; 2 cm) were acclimatized in the mixture of perlite and peat-moss (1:1). </w:t>
      </w:r>
    </w:p>
    <w:p w:rsidR="00511A0E" w:rsidRDefault="00511A0E" w:rsidP="00511A0E">
      <w:pPr>
        <w:pStyle w:val="BodyText"/>
        <w:spacing w:before="90" w:line="280" w:lineRule="auto"/>
        <w:ind w:left="100"/>
        <w:jc w:val="both"/>
        <w:rPr>
          <w:color w:val="BF5A14"/>
        </w:rPr>
      </w:pPr>
    </w:p>
    <w:p w:rsidR="00511A0E" w:rsidRDefault="00511A0E" w:rsidP="00511A0E">
      <w:pPr>
        <w:pStyle w:val="BodyText"/>
        <w:spacing w:before="90" w:line="280" w:lineRule="auto"/>
        <w:ind w:left="100"/>
        <w:jc w:val="both"/>
        <w:rPr>
          <w:color w:val="BF5A14"/>
        </w:rPr>
      </w:pPr>
    </w:p>
    <w:p w:rsidR="00AE3E37" w:rsidRDefault="00A9710C" w:rsidP="00511A0E">
      <w:pPr>
        <w:pStyle w:val="BodyText"/>
        <w:spacing w:before="90" w:line="280" w:lineRule="auto"/>
        <w:ind w:left="100"/>
        <w:jc w:val="both"/>
      </w:pPr>
      <w:r>
        <w:rPr>
          <w:color w:val="BF5A14"/>
        </w:rPr>
        <w:t>Image</w:t>
      </w:r>
    </w:p>
    <w:p w:rsidR="00797032" w:rsidRDefault="00511A0E" w:rsidP="00627020">
      <w:pPr>
        <w:pStyle w:val="BodyText"/>
        <w:keepNext/>
        <w:spacing w:before="2"/>
        <w:jc w:val="center"/>
      </w:pPr>
      <w:r w:rsidRPr="00826383">
        <w:rPr>
          <w:rFonts w:ascii="Times New Roman" w:hAnsi="Times New Roman" w:cs="Times New Roman"/>
          <w:noProof/>
          <w:color w:val="000000"/>
          <w:sz w:val="20"/>
          <w:szCs w:val="24"/>
        </w:rPr>
        <w:drawing>
          <wp:inline distT="0" distB="0" distL="0" distR="0">
            <wp:extent cx="1757680" cy="985933"/>
            <wp:effectExtent l="0" t="0" r="0" b="5080"/>
            <wp:docPr id="1" name="Picture 1" descr="C:\Users\seyed\Desktop\1\IMG_20150819_185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eyed\Desktop\1\IMG_20150819_18515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0582" cy="987561"/>
                    </a:xfrm>
                    <a:prstGeom prst="rect">
                      <a:avLst/>
                    </a:prstGeom>
                    <a:noFill/>
                    <a:ln>
                      <a:noFill/>
                    </a:ln>
                  </pic:spPr>
                </pic:pic>
              </a:graphicData>
            </a:graphic>
          </wp:inline>
        </w:drawing>
      </w:r>
      <w:r w:rsidRPr="00826383">
        <w:rPr>
          <w:rFonts w:ascii="Times New Roman" w:hAnsi="Times New Roman" w:cs="Times New Roman"/>
          <w:noProof/>
          <w:color w:val="000000"/>
          <w:sz w:val="20"/>
          <w:szCs w:val="24"/>
        </w:rPr>
        <w:drawing>
          <wp:inline distT="0" distB="0" distL="0" distR="0">
            <wp:extent cx="1529715" cy="991162"/>
            <wp:effectExtent l="0" t="0" r="0" b="0"/>
            <wp:docPr id="3" name="Picture 3" descr="C:\Users\seyed\Desktop\1\IMG_20150819_184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yed\Desktop\1\IMG_20150819_18494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34" cy="999792"/>
                    </a:xfrm>
                    <a:prstGeom prst="rect">
                      <a:avLst/>
                    </a:prstGeom>
                    <a:noFill/>
                    <a:ln>
                      <a:noFill/>
                    </a:ln>
                  </pic:spPr>
                </pic:pic>
              </a:graphicData>
            </a:graphic>
          </wp:inline>
        </w:drawing>
      </w:r>
    </w:p>
    <w:p w:rsidR="00627020" w:rsidRDefault="00797032" w:rsidP="00511A0E">
      <w:pPr>
        <w:pStyle w:val="Caption"/>
        <w:rPr>
          <w:rFonts w:ascii="Arial"/>
          <w:b/>
          <w:i w:val="0"/>
          <w:iCs w:val="0"/>
          <w:color w:val="BF5A14"/>
          <w:sz w:val="20"/>
        </w:rPr>
      </w:pPr>
      <w:r w:rsidRPr="00797032">
        <w:rPr>
          <w:i w:val="0"/>
          <w:iCs w:val="0"/>
          <w:color w:val="auto"/>
        </w:rPr>
        <w:t xml:space="preserve">Figure </w:t>
      </w:r>
      <w:r w:rsidRPr="00797032">
        <w:rPr>
          <w:i w:val="0"/>
          <w:iCs w:val="0"/>
          <w:color w:val="auto"/>
        </w:rPr>
        <w:fldChar w:fldCharType="begin"/>
      </w:r>
      <w:r w:rsidRPr="00797032">
        <w:rPr>
          <w:i w:val="0"/>
          <w:iCs w:val="0"/>
          <w:color w:val="auto"/>
        </w:rPr>
        <w:instrText xml:space="preserve"> SEQ Figure \* ARABIC </w:instrText>
      </w:r>
      <w:r w:rsidRPr="00797032">
        <w:rPr>
          <w:i w:val="0"/>
          <w:iCs w:val="0"/>
          <w:color w:val="auto"/>
        </w:rPr>
        <w:fldChar w:fldCharType="separate"/>
      </w:r>
      <w:r w:rsidRPr="00797032">
        <w:rPr>
          <w:i w:val="0"/>
          <w:iCs w:val="0"/>
          <w:noProof/>
          <w:color w:val="auto"/>
        </w:rPr>
        <w:t>1</w:t>
      </w:r>
      <w:r w:rsidRPr="00797032">
        <w:rPr>
          <w:i w:val="0"/>
          <w:iCs w:val="0"/>
          <w:color w:val="auto"/>
        </w:rPr>
        <w:fldChar w:fldCharType="end"/>
      </w:r>
      <w:r w:rsidRPr="00797032">
        <w:rPr>
          <w:i w:val="0"/>
          <w:iCs w:val="0"/>
          <w:color w:val="auto"/>
        </w:rPr>
        <w:t xml:space="preserve">. </w:t>
      </w:r>
      <w:r w:rsidR="00511A0E" w:rsidRPr="00511A0E">
        <w:rPr>
          <w:i w:val="0"/>
          <w:iCs w:val="0"/>
          <w:color w:val="auto"/>
        </w:rPr>
        <w:t xml:space="preserve">Effect of CAS on in vitro establishment of UCB-1 rootstock, </w:t>
      </w:r>
      <w:r w:rsidR="00511A0E">
        <w:rPr>
          <w:i w:val="0"/>
          <w:iCs w:val="0"/>
          <w:color w:val="auto"/>
        </w:rPr>
        <w:t>right</w:t>
      </w:r>
      <w:r w:rsidR="00511A0E" w:rsidRPr="00511A0E">
        <w:rPr>
          <w:i w:val="0"/>
          <w:iCs w:val="0"/>
          <w:color w:val="auto"/>
        </w:rPr>
        <w:t xml:space="preserve">: control medium lacking ACH and CAS and </w:t>
      </w:r>
      <w:r w:rsidR="00511A0E">
        <w:rPr>
          <w:i w:val="0"/>
          <w:iCs w:val="0"/>
          <w:color w:val="auto"/>
        </w:rPr>
        <w:t>left</w:t>
      </w:r>
      <w:r w:rsidR="00511A0E" w:rsidRPr="00511A0E">
        <w:rPr>
          <w:i w:val="0"/>
          <w:iCs w:val="0"/>
          <w:color w:val="auto"/>
        </w:rPr>
        <w:t>: CAS</w:t>
      </w:r>
      <w:r w:rsidR="005973B9">
        <w:rPr>
          <w:rFonts w:ascii="Arial"/>
          <w:b/>
          <w:color w:val="BF5A14"/>
          <w:sz w:val="20"/>
        </w:rPr>
        <w:br/>
      </w:r>
    </w:p>
    <w:p w:rsidR="005973B9" w:rsidRPr="00627020" w:rsidRDefault="005973B9" w:rsidP="00627020">
      <w:pPr>
        <w:pStyle w:val="Caption"/>
        <w:rPr>
          <w:i w:val="0"/>
          <w:iCs w:val="0"/>
          <w:color w:val="auto"/>
        </w:rPr>
      </w:pPr>
      <w:r w:rsidRPr="00627020">
        <w:rPr>
          <w:rFonts w:ascii="Arial"/>
          <w:b/>
          <w:i w:val="0"/>
          <w:iCs w:val="0"/>
          <w:color w:val="BF5A14"/>
          <w:sz w:val="20"/>
        </w:rPr>
        <w:t>Recent Publications</w:t>
      </w:r>
      <w:r>
        <w:rPr>
          <w:rFonts w:ascii="Arial"/>
          <w:b/>
          <w:color w:val="BF5A14"/>
          <w:sz w:val="20"/>
        </w:rPr>
        <w:t xml:space="preserve"> </w:t>
      </w:r>
    </w:p>
    <w:p w:rsidR="00511A0E" w:rsidRDefault="00511A0E" w:rsidP="00511A0E">
      <w:pPr>
        <w:pStyle w:val="ListParagraph"/>
        <w:numPr>
          <w:ilvl w:val="0"/>
          <w:numId w:val="3"/>
        </w:numPr>
        <w:tabs>
          <w:tab w:val="left" w:pos="384"/>
        </w:tabs>
        <w:spacing w:before="103" w:line="216" w:lineRule="exact"/>
        <w:ind w:right="138" w:hanging="283"/>
        <w:rPr>
          <w:sz w:val="18"/>
        </w:rPr>
      </w:pPr>
      <w:r w:rsidRPr="00511A0E">
        <w:rPr>
          <w:sz w:val="18"/>
        </w:rPr>
        <w:t xml:space="preserve">Ananthakrishnan G, Ravikumar R, Anand PR, Vengadesan G (1999) Induction of somatic embryogenesis from nucellarderived callus of </w:t>
      </w:r>
      <w:r w:rsidRPr="00511A0E">
        <w:rPr>
          <w:i/>
          <w:iCs/>
          <w:sz w:val="18"/>
        </w:rPr>
        <w:t>Anacardium occidentale</w:t>
      </w:r>
      <w:r>
        <w:rPr>
          <w:sz w:val="18"/>
        </w:rPr>
        <w:t xml:space="preserve"> L..</w:t>
      </w:r>
      <w:r w:rsidRPr="00511A0E">
        <w:rPr>
          <w:sz w:val="18"/>
        </w:rPr>
        <w:t xml:space="preserve"> Sci</w:t>
      </w:r>
      <w:r>
        <w:rPr>
          <w:sz w:val="18"/>
        </w:rPr>
        <w:t>entia Horticulture</w:t>
      </w:r>
      <w:r w:rsidRPr="00511A0E">
        <w:rPr>
          <w:sz w:val="18"/>
        </w:rPr>
        <w:t xml:space="preserve"> 79:91–99</w:t>
      </w:r>
      <w:r>
        <w:rPr>
          <w:sz w:val="18"/>
        </w:rPr>
        <w:t>.</w:t>
      </w:r>
      <w:r w:rsidRPr="00511A0E">
        <w:rPr>
          <w:sz w:val="18"/>
        </w:rPr>
        <w:t xml:space="preserve"> </w:t>
      </w:r>
    </w:p>
    <w:p w:rsidR="00511A0E" w:rsidRPr="00511A0E" w:rsidRDefault="00511A0E" w:rsidP="00511A0E">
      <w:pPr>
        <w:pStyle w:val="ListParagraph"/>
        <w:numPr>
          <w:ilvl w:val="0"/>
          <w:numId w:val="3"/>
        </w:numPr>
        <w:tabs>
          <w:tab w:val="left" w:pos="384"/>
        </w:tabs>
        <w:spacing w:before="103" w:line="216" w:lineRule="exact"/>
        <w:ind w:right="138" w:hanging="283"/>
        <w:rPr>
          <w:sz w:val="18"/>
        </w:rPr>
      </w:pPr>
      <w:r w:rsidRPr="00511A0E">
        <w:rPr>
          <w:sz w:val="18"/>
        </w:rPr>
        <w:t>Bairu MW, Wendy A, Stirk J, Van Staden (2009) Factors con</w:t>
      </w:r>
      <w:r w:rsidRPr="00511A0E">
        <w:rPr>
          <w:sz w:val="18"/>
        </w:rPr>
        <w:softHyphen/>
        <w:t xml:space="preserve">tributing to </w:t>
      </w:r>
      <w:r w:rsidRPr="00511A0E">
        <w:rPr>
          <w:i/>
          <w:iCs/>
          <w:sz w:val="18"/>
        </w:rPr>
        <w:t>in vitro</w:t>
      </w:r>
      <w:r w:rsidRPr="00511A0E">
        <w:rPr>
          <w:sz w:val="18"/>
        </w:rPr>
        <w:t xml:space="preserve"> shoot-tip necrosis and their physiologi</w:t>
      </w:r>
      <w:r w:rsidRPr="00511A0E">
        <w:rPr>
          <w:sz w:val="18"/>
        </w:rPr>
        <w:softHyphen/>
        <w:t>cal interactions. Plant Cell Tiss</w:t>
      </w:r>
      <w:r>
        <w:rPr>
          <w:sz w:val="18"/>
        </w:rPr>
        <w:t>ue and Organ culture</w:t>
      </w:r>
      <w:r w:rsidRPr="00511A0E">
        <w:rPr>
          <w:sz w:val="18"/>
        </w:rPr>
        <w:t xml:space="preserve"> 98:239-248.</w:t>
      </w:r>
    </w:p>
    <w:p w:rsidR="00511A0E" w:rsidRDefault="00511A0E" w:rsidP="00511A0E">
      <w:pPr>
        <w:pStyle w:val="ListParagraph"/>
        <w:numPr>
          <w:ilvl w:val="0"/>
          <w:numId w:val="3"/>
        </w:numPr>
        <w:tabs>
          <w:tab w:val="left" w:pos="384"/>
        </w:tabs>
        <w:spacing w:before="103" w:line="216" w:lineRule="exact"/>
        <w:ind w:right="138" w:hanging="283"/>
        <w:rPr>
          <w:sz w:val="18"/>
        </w:rPr>
      </w:pPr>
      <w:r w:rsidRPr="00511A0E">
        <w:rPr>
          <w:sz w:val="18"/>
        </w:rPr>
        <w:t xml:space="preserve">Benmahioul B, Dorion N, Kaid-Harche M, Daguin, F (2012) Micropropagation and </w:t>
      </w:r>
      <w:r w:rsidRPr="00511A0E">
        <w:rPr>
          <w:i/>
          <w:iCs/>
          <w:sz w:val="18"/>
        </w:rPr>
        <w:t>ex vitro</w:t>
      </w:r>
      <w:r w:rsidRPr="00511A0E">
        <w:rPr>
          <w:sz w:val="18"/>
        </w:rPr>
        <w:t xml:space="preserve"> rooting of pistachio (</w:t>
      </w:r>
      <w:r w:rsidRPr="00511A0E">
        <w:rPr>
          <w:i/>
          <w:iCs/>
          <w:sz w:val="18"/>
        </w:rPr>
        <w:t xml:space="preserve">Pistacia vera </w:t>
      </w:r>
      <w:r w:rsidRPr="00511A0E">
        <w:rPr>
          <w:sz w:val="18"/>
        </w:rPr>
        <w:t xml:space="preserve"> L.). Plant Cell Tissue and Organ culture </w:t>
      </w:r>
      <w:r>
        <w:rPr>
          <w:sz w:val="18"/>
        </w:rPr>
        <w:t>108:</w:t>
      </w:r>
      <w:r w:rsidRPr="00511A0E">
        <w:rPr>
          <w:sz w:val="18"/>
        </w:rPr>
        <w:t>353-358.</w:t>
      </w:r>
      <w:r>
        <w:rPr>
          <w:sz w:val="18"/>
        </w:rPr>
        <w:t xml:space="preserve"> </w:t>
      </w:r>
    </w:p>
    <w:p w:rsidR="00511A0E" w:rsidRPr="00511A0E" w:rsidRDefault="00511A0E" w:rsidP="00511A0E">
      <w:pPr>
        <w:pStyle w:val="ListParagraph"/>
        <w:numPr>
          <w:ilvl w:val="0"/>
          <w:numId w:val="3"/>
        </w:numPr>
        <w:tabs>
          <w:tab w:val="left" w:pos="384"/>
        </w:tabs>
        <w:spacing w:before="103" w:line="216" w:lineRule="exact"/>
        <w:ind w:right="138" w:hanging="283"/>
        <w:rPr>
          <w:sz w:val="18"/>
        </w:rPr>
      </w:pPr>
      <w:r w:rsidRPr="00511A0E">
        <w:rPr>
          <w:sz w:val="18"/>
        </w:rPr>
        <w:t>Dias MA, Costa MM (1983) Effect of low salt concentrations on nitrate reductase and peroxidase of sugar beet leaves. J</w:t>
      </w:r>
      <w:r>
        <w:rPr>
          <w:sz w:val="18"/>
        </w:rPr>
        <w:t>ournal of</w:t>
      </w:r>
      <w:r w:rsidRPr="00511A0E">
        <w:rPr>
          <w:sz w:val="18"/>
        </w:rPr>
        <w:t xml:space="preserve"> Exp</w:t>
      </w:r>
      <w:r>
        <w:rPr>
          <w:sz w:val="18"/>
        </w:rPr>
        <w:t>erimental Botany 34:</w:t>
      </w:r>
      <w:r w:rsidRPr="00511A0E">
        <w:rPr>
          <w:sz w:val="18"/>
        </w:rPr>
        <w:t>537-543.</w:t>
      </w:r>
      <w:r w:rsidRPr="00511A0E">
        <w:rPr>
          <w:rFonts w:ascii="Times New Roman" w:hAnsi="Times New Roman" w:cs="Times New Roman"/>
          <w:sz w:val="20"/>
          <w:szCs w:val="20"/>
          <w:shd w:val="clear" w:color="auto" w:fill="FFFFFF"/>
        </w:rPr>
        <w:t xml:space="preserve"> </w:t>
      </w:r>
    </w:p>
    <w:p w:rsidR="00511A0E" w:rsidRPr="00511A0E" w:rsidRDefault="00511A0E" w:rsidP="00511A0E">
      <w:pPr>
        <w:pStyle w:val="ListParagraph"/>
        <w:numPr>
          <w:ilvl w:val="0"/>
          <w:numId w:val="3"/>
        </w:numPr>
        <w:tabs>
          <w:tab w:val="left" w:pos="384"/>
        </w:tabs>
        <w:spacing w:before="103" w:line="216" w:lineRule="exact"/>
        <w:ind w:right="138" w:hanging="283"/>
        <w:rPr>
          <w:sz w:val="18"/>
        </w:rPr>
      </w:pPr>
      <w:r w:rsidRPr="00511A0E">
        <w:rPr>
          <w:sz w:val="18"/>
        </w:rPr>
        <w:t xml:space="preserve">Fujita Y, Hara Y, Suga C, Morimoto T (1981) Production of shikonin derivatives by cell suspension cultures of </w:t>
      </w:r>
      <w:r w:rsidRPr="00511A0E">
        <w:rPr>
          <w:i/>
          <w:iCs/>
          <w:sz w:val="18"/>
        </w:rPr>
        <w:t>Lithospermum erythrorhizon</w:t>
      </w:r>
      <w:r w:rsidRPr="00511A0E">
        <w:rPr>
          <w:sz w:val="18"/>
        </w:rPr>
        <w:t>. </w:t>
      </w:r>
      <w:r>
        <w:rPr>
          <w:sz w:val="18"/>
        </w:rPr>
        <w:t>Plant Cell Report</w:t>
      </w:r>
      <w:r w:rsidRPr="00511A0E">
        <w:rPr>
          <w:sz w:val="18"/>
        </w:rPr>
        <w:t> </w:t>
      </w:r>
      <w:r>
        <w:rPr>
          <w:sz w:val="18"/>
        </w:rPr>
        <w:t>1:</w:t>
      </w:r>
      <w:r w:rsidRPr="00511A0E">
        <w:rPr>
          <w:sz w:val="18"/>
        </w:rPr>
        <w:t>61-63.</w:t>
      </w:r>
    </w:p>
    <w:p w:rsidR="00AE3E37" w:rsidRPr="00511A0E" w:rsidRDefault="00AE3E37" w:rsidP="00511A0E">
      <w:pPr>
        <w:pStyle w:val="ListParagraph"/>
        <w:numPr>
          <w:ilvl w:val="0"/>
          <w:numId w:val="3"/>
        </w:numPr>
        <w:tabs>
          <w:tab w:val="left" w:pos="384"/>
        </w:tabs>
        <w:spacing w:before="103" w:line="216" w:lineRule="exact"/>
        <w:ind w:right="138" w:hanging="283"/>
        <w:rPr>
          <w:sz w:val="18"/>
        </w:rPr>
        <w:sectPr w:rsidR="00AE3E37" w:rsidRPr="00511A0E">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8EFD8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136DE9">
      <w:pPr>
        <w:spacing w:before="92"/>
        <w:ind w:right="4234"/>
        <w:rPr>
          <w:rFonts w:ascii="Arial"/>
        </w:rPr>
      </w:pPr>
      <w:r>
        <w:rPr>
          <w:noProof/>
        </w:rPr>
        <w:t xml:space="preserve">              </w:t>
      </w:r>
      <w:r w:rsidR="00136DE9" w:rsidRPr="00B41A74">
        <w:rPr>
          <w:rFonts w:cs="Calibri"/>
          <w:b/>
          <w:bCs/>
          <w:noProof/>
          <w:sz w:val="24"/>
          <w:szCs w:val="24"/>
        </w:rPr>
        <w:drawing>
          <wp:inline distT="0" distB="0" distL="0" distR="0">
            <wp:extent cx="843280" cy="843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3280" cy="84328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136DE9" w:rsidP="006373BE">
      <w:pPr>
        <w:spacing w:before="41" w:line="154" w:lineRule="exact"/>
        <w:ind w:left="213" w:right="231"/>
        <w:jc w:val="both"/>
        <w:rPr>
          <w:rFonts w:ascii="Arial"/>
          <w:sz w:val="14"/>
        </w:rPr>
      </w:pPr>
      <w:r>
        <w:rPr>
          <w:rFonts w:ascii="Arial"/>
          <w:sz w:val="14"/>
        </w:rPr>
        <w:t>Abbas Yadollahi has his</w:t>
      </w:r>
      <w:r w:rsidR="00A9710C">
        <w:rPr>
          <w:rFonts w:ascii="Arial"/>
          <w:sz w:val="14"/>
        </w:rPr>
        <w:t xml:space="preserve"> expertise in </w:t>
      </w:r>
      <w:r>
        <w:rPr>
          <w:rFonts w:ascii="Arial"/>
          <w:sz w:val="14"/>
        </w:rPr>
        <w:t>Fr</w:t>
      </w:r>
      <w:r w:rsidR="00511A0E">
        <w:rPr>
          <w:rFonts w:ascii="Arial"/>
          <w:sz w:val="14"/>
        </w:rPr>
        <w:t>uit Physiology and Breeding. He has about 10 years of experience in plant tissue culture both scientifically and commercially</w:t>
      </w:r>
      <w:r w:rsidR="006373BE">
        <w:rPr>
          <w:rFonts w:ascii="Arial"/>
          <w:sz w:val="14"/>
        </w:rPr>
        <w:t>. And has lots of publications in this issue which are mostly on micropropagation of important fruit tree rootstocks.</w:t>
      </w:r>
      <w:bookmarkStart w:id="0" w:name="_GoBack"/>
      <w:bookmarkEnd w:id="0"/>
    </w:p>
    <w:p w:rsidR="00AE3E37" w:rsidRPr="00627020" w:rsidRDefault="00A9710C" w:rsidP="00627020">
      <w:pPr>
        <w:spacing w:before="62"/>
        <w:ind w:left="4217" w:right="4235"/>
        <w:jc w:val="center"/>
        <w:rPr>
          <w:rFonts w:ascii="Arial"/>
          <w:sz w:val="14"/>
        </w:rPr>
        <w:sectPr w:rsidR="00AE3E37" w:rsidRPr="00627020">
          <w:type w:val="continuous"/>
          <w:pgSz w:w="11910" w:h="16840"/>
          <w:pgMar w:top="1740" w:right="600" w:bottom="840" w:left="620" w:header="720" w:footer="720" w:gutter="0"/>
          <w:cols w:space="720"/>
        </w:sectPr>
      </w:pPr>
      <w:r>
        <w:rPr>
          <w:rFonts w:ascii="Arial"/>
          <w:sz w:val="14"/>
        </w:rPr>
        <w:t xml:space="preserve">Email: </w:t>
      </w:r>
      <w:hyperlink r:id="rId12" w:history="1">
        <w:r w:rsidR="00797032" w:rsidRPr="00466D7B">
          <w:rPr>
            <w:rStyle w:val="Hyperlink"/>
            <w:rFonts w:ascii="Arial"/>
            <w:sz w:val="14"/>
          </w:rPr>
          <w:t>yadollah@modares.ac.ir</w:t>
        </w:r>
      </w:hyperlink>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865C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797" w:rsidRDefault="00500797">
      <w:r>
        <w:separator/>
      </w:r>
    </w:p>
  </w:endnote>
  <w:endnote w:type="continuationSeparator" w:id="0">
    <w:p w:rsidR="00500797" w:rsidRDefault="00500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797" w:rsidRDefault="00500797">
      <w:r>
        <w:separator/>
      </w:r>
    </w:p>
  </w:footnote>
  <w:footnote w:type="continuationSeparator" w:id="0">
    <w:p w:rsidR="00500797" w:rsidRDefault="005007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92C7215"/>
    <w:multiLevelType w:val="hybridMultilevel"/>
    <w:tmpl w:val="B9D0E4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4A6868"/>
    <w:multiLevelType w:val="hybridMultilevel"/>
    <w:tmpl w:val="649C41EA"/>
    <w:lvl w:ilvl="0" w:tplc="01A678E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36DE9"/>
    <w:rsid w:val="002455EC"/>
    <w:rsid w:val="00292ED9"/>
    <w:rsid w:val="00317A5A"/>
    <w:rsid w:val="003B23AF"/>
    <w:rsid w:val="00404E5B"/>
    <w:rsid w:val="00414F7B"/>
    <w:rsid w:val="004355DC"/>
    <w:rsid w:val="00455EDC"/>
    <w:rsid w:val="004749B4"/>
    <w:rsid w:val="00494130"/>
    <w:rsid w:val="004F3523"/>
    <w:rsid w:val="00500797"/>
    <w:rsid w:val="00511A0E"/>
    <w:rsid w:val="005973B9"/>
    <w:rsid w:val="005B3A56"/>
    <w:rsid w:val="006060CE"/>
    <w:rsid w:val="00627020"/>
    <w:rsid w:val="0063497F"/>
    <w:rsid w:val="006373BE"/>
    <w:rsid w:val="0066577B"/>
    <w:rsid w:val="00797032"/>
    <w:rsid w:val="00873DF0"/>
    <w:rsid w:val="008756E6"/>
    <w:rsid w:val="008A08B6"/>
    <w:rsid w:val="009611CC"/>
    <w:rsid w:val="00975ACD"/>
    <w:rsid w:val="009B2D44"/>
    <w:rsid w:val="009D6208"/>
    <w:rsid w:val="00A07E82"/>
    <w:rsid w:val="00A9710C"/>
    <w:rsid w:val="00AE3E37"/>
    <w:rsid w:val="00B21A57"/>
    <w:rsid w:val="00C33602"/>
    <w:rsid w:val="00CD6F55"/>
    <w:rsid w:val="00D6373B"/>
    <w:rsid w:val="00D74377"/>
    <w:rsid w:val="00DC1204"/>
    <w:rsid w:val="00DE3104"/>
    <w:rsid w:val="00E26B10"/>
    <w:rsid w:val="00EE281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D0E278-C9A1-47CE-8A0E-35AA10693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EE281C"/>
    <w:pPr>
      <w:widowControl/>
      <w:spacing w:after="200"/>
      <w:jc w:val="both"/>
    </w:pPr>
    <w:rPr>
      <w:rFonts w:ascii="Calibri" w:eastAsiaTheme="minorHAnsi" w:hAnsi="Calibri" w:cstheme="minorBidi"/>
      <w:noProof/>
    </w:rPr>
  </w:style>
  <w:style w:type="character" w:customStyle="1" w:styleId="EndNoteBibliographyChar">
    <w:name w:val="EndNote Bibliography Char"/>
    <w:basedOn w:val="DefaultParagraphFont"/>
    <w:link w:val="EndNoteBibliography"/>
    <w:rsid w:val="00EE281C"/>
    <w:rPr>
      <w:rFonts w:ascii="Calibri" w:hAnsi="Calibri"/>
      <w:noProof/>
    </w:rPr>
  </w:style>
  <w:style w:type="paragraph" w:styleId="Caption">
    <w:name w:val="caption"/>
    <w:basedOn w:val="Normal"/>
    <w:next w:val="Normal"/>
    <w:uiPriority w:val="35"/>
    <w:unhideWhenUsed/>
    <w:qFormat/>
    <w:rsid w:val="00797032"/>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yadollah@modares.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1</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Windows User</cp:lastModifiedBy>
  <cp:revision>3</cp:revision>
  <dcterms:created xsi:type="dcterms:W3CDTF">2018-02-20T16:15:00Z</dcterms:created>
  <dcterms:modified xsi:type="dcterms:W3CDTF">2018-02-20T19:15:00Z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