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79E" w:rsidRPr="00FF679E" w:rsidRDefault="000B7CFA" w:rsidP="000B7CFA">
      <w:pPr>
        <w:autoSpaceDE w:val="0"/>
        <w:autoSpaceDN w:val="0"/>
        <w:adjustRightInd w:val="0"/>
        <w:spacing w:after="0" w:line="240" w:lineRule="auto"/>
        <w:jc w:val="center"/>
        <w:rPr>
          <w:rFonts w:asciiTheme="majorBidi" w:hAnsiTheme="majorBidi" w:cstheme="majorBidi"/>
          <w:b/>
          <w:bCs/>
          <w:sz w:val="27"/>
          <w:szCs w:val="27"/>
        </w:rPr>
      </w:pPr>
      <w:r>
        <w:rPr>
          <w:rFonts w:asciiTheme="majorBidi" w:hAnsiTheme="majorBidi" w:cstheme="majorBidi"/>
          <w:b/>
          <w:bCs/>
          <w:sz w:val="27"/>
          <w:szCs w:val="27"/>
        </w:rPr>
        <w:t xml:space="preserve">A way forward to sustainable farming practices </w:t>
      </w:r>
    </w:p>
    <w:p w:rsidR="00FF679E" w:rsidRDefault="00FF679E" w:rsidP="00FF679E">
      <w:pPr>
        <w:autoSpaceDE w:val="0"/>
        <w:autoSpaceDN w:val="0"/>
        <w:adjustRightInd w:val="0"/>
        <w:spacing w:after="0" w:line="240" w:lineRule="auto"/>
        <w:rPr>
          <w:rFonts w:ascii="AdvOT863180fb" w:hAnsi="AdvOT863180fb" w:cs="AdvOT863180fb"/>
          <w:sz w:val="27"/>
          <w:szCs w:val="27"/>
        </w:rPr>
      </w:pPr>
    </w:p>
    <w:p w:rsidR="009528E5" w:rsidRPr="009528E5" w:rsidRDefault="009528E5" w:rsidP="00FF679E">
      <w:pPr>
        <w:autoSpaceDE w:val="0"/>
        <w:autoSpaceDN w:val="0"/>
        <w:adjustRightInd w:val="0"/>
        <w:spacing w:after="0" w:line="240" w:lineRule="auto"/>
        <w:rPr>
          <w:rFonts w:ascii="AdvOT863180fb" w:hAnsi="AdvOT863180fb" w:cs="AdvOT863180fb"/>
          <w:sz w:val="24"/>
          <w:szCs w:val="24"/>
        </w:rPr>
      </w:pPr>
      <w:r w:rsidRPr="009528E5">
        <w:rPr>
          <w:rFonts w:ascii="AdvOT863180fb" w:hAnsi="AdvOT863180fb" w:cs="AdvOT863180fb"/>
          <w:sz w:val="24"/>
          <w:szCs w:val="24"/>
        </w:rPr>
        <w:t>Khurram Shahzad</w:t>
      </w:r>
      <w:r w:rsidRPr="009528E5">
        <w:rPr>
          <w:rFonts w:ascii="AdvOT863180fb" w:hAnsi="AdvOT863180fb" w:cs="AdvOT863180fb"/>
          <w:sz w:val="24"/>
          <w:szCs w:val="24"/>
          <w:vertAlign w:val="superscript"/>
        </w:rPr>
        <w:t>1</w:t>
      </w:r>
      <w:r>
        <w:rPr>
          <w:rFonts w:ascii="AdvOT863180fb" w:hAnsi="AdvOT863180fb" w:cs="AdvOT863180fb"/>
          <w:sz w:val="24"/>
          <w:szCs w:val="24"/>
          <w:vertAlign w:val="superscript"/>
        </w:rPr>
        <w:t>,*</w:t>
      </w:r>
      <w:r w:rsidRPr="009528E5">
        <w:rPr>
          <w:rFonts w:ascii="AdvOT863180fb" w:hAnsi="AdvOT863180fb" w:cs="AdvOT863180fb"/>
          <w:sz w:val="24"/>
          <w:szCs w:val="24"/>
        </w:rPr>
        <w:t>, Stephan Maier</w:t>
      </w:r>
      <w:r w:rsidRPr="009528E5">
        <w:rPr>
          <w:rFonts w:ascii="AdvOT863180fb" w:hAnsi="AdvOT863180fb" w:cs="AdvOT863180fb"/>
          <w:sz w:val="24"/>
          <w:szCs w:val="24"/>
          <w:vertAlign w:val="superscript"/>
        </w:rPr>
        <w:t>2</w:t>
      </w:r>
      <w:r w:rsidRPr="009528E5">
        <w:rPr>
          <w:rFonts w:ascii="AdvOT863180fb" w:hAnsi="AdvOT863180fb" w:cs="AdvOT863180fb"/>
          <w:sz w:val="24"/>
          <w:szCs w:val="24"/>
        </w:rPr>
        <w:t>, Iqbal Muhammad Ibrahim Ismail</w:t>
      </w:r>
      <w:r w:rsidRPr="009528E5">
        <w:rPr>
          <w:rFonts w:ascii="AdvOT863180fb" w:hAnsi="AdvOT863180fb" w:cs="AdvOT863180fb"/>
          <w:sz w:val="24"/>
          <w:szCs w:val="24"/>
          <w:vertAlign w:val="superscript"/>
        </w:rPr>
        <w:t>1</w:t>
      </w:r>
    </w:p>
    <w:p w:rsidR="009528E5" w:rsidRDefault="009528E5" w:rsidP="00FF679E">
      <w:pPr>
        <w:autoSpaceDE w:val="0"/>
        <w:autoSpaceDN w:val="0"/>
        <w:adjustRightInd w:val="0"/>
        <w:spacing w:after="0" w:line="240" w:lineRule="auto"/>
        <w:rPr>
          <w:rFonts w:ascii="Arial" w:eastAsia="Times New Roman" w:hAnsi="Arial"/>
          <w:noProof/>
          <w:sz w:val="18"/>
          <w:szCs w:val="18"/>
          <w:vertAlign w:val="superscript"/>
        </w:rPr>
      </w:pPr>
    </w:p>
    <w:p w:rsidR="009528E5" w:rsidRPr="009528E5" w:rsidRDefault="009528E5" w:rsidP="00FF679E">
      <w:pPr>
        <w:autoSpaceDE w:val="0"/>
        <w:autoSpaceDN w:val="0"/>
        <w:adjustRightInd w:val="0"/>
        <w:spacing w:after="0" w:line="240" w:lineRule="auto"/>
        <w:rPr>
          <w:rFonts w:asciiTheme="majorBidi" w:eastAsia="Times New Roman" w:hAnsiTheme="majorBidi" w:cstheme="majorBidi"/>
          <w:noProof/>
          <w:sz w:val="20"/>
          <w:szCs w:val="20"/>
        </w:rPr>
      </w:pPr>
      <w:r w:rsidRPr="009528E5">
        <w:rPr>
          <w:rFonts w:asciiTheme="majorBidi" w:eastAsia="Times New Roman" w:hAnsiTheme="majorBidi" w:cstheme="majorBidi"/>
          <w:noProof/>
          <w:sz w:val="20"/>
          <w:szCs w:val="20"/>
          <w:vertAlign w:val="superscript"/>
        </w:rPr>
        <w:t>1</w:t>
      </w:r>
      <w:r w:rsidRPr="009528E5">
        <w:rPr>
          <w:rFonts w:asciiTheme="majorBidi" w:hAnsiTheme="majorBidi" w:cstheme="majorBidi"/>
          <w:sz w:val="24"/>
          <w:szCs w:val="24"/>
        </w:rPr>
        <w:t xml:space="preserve"> </w:t>
      </w:r>
      <w:r w:rsidRPr="009528E5">
        <w:rPr>
          <w:rFonts w:asciiTheme="majorBidi" w:eastAsia="Times New Roman" w:hAnsiTheme="majorBidi" w:cstheme="majorBidi"/>
          <w:noProof/>
          <w:sz w:val="20"/>
          <w:szCs w:val="20"/>
        </w:rPr>
        <w:t>Center of Excellence in Environmental Studies (CEES), King Abdulaziz University, P.O Box: 80216, Jeddah, 21589, Saudi Arabia</w:t>
      </w:r>
      <w:r>
        <w:rPr>
          <w:rFonts w:asciiTheme="majorBidi" w:eastAsia="Times New Roman" w:hAnsiTheme="majorBidi" w:cstheme="majorBidi"/>
          <w:noProof/>
          <w:sz w:val="20"/>
          <w:szCs w:val="20"/>
        </w:rPr>
        <w:t>.</w:t>
      </w:r>
    </w:p>
    <w:p w:rsidR="009528E5" w:rsidRPr="009528E5" w:rsidRDefault="009528E5" w:rsidP="00FF679E">
      <w:pPr>
        <w:autoSpaceDE w:val="0"/>
        <w:autoSpaceDN w:val="0"/>
        <w:adjustRightInd w:val="0"/>
        <w:spacing w:after="0" w:line="240" w:lineRule="auto"/>
        <w:rPr>
          <w:rFonts w:asciiTheme="majorBidi" w:hAnsiTheme="majorBidi" w:cstheme="majorBidi"/>
          <w:sz w:val="29"/>
          <w:szCs w:val="29"/>
        </w:rPr>
      </w:pPr>
      <w:r w:rsidRPr="009528E5">
        <w:rPr>
          <w:rFonts w:asciiTheme="majorBidi" w:eastAsia="Times New Roman" w:hAnsiTheme="majorBidi" w:cstheme="majorBidi"/>
          <w:noProof/>
          <w:sz w:val="20"/>
          <w:szCs w:val="20"/>
          <w:vertAlign w:val="superscript"/>
        </w:rPr>
        <w:t>2</w:t>
      </w:r>
      <w:r w:rsidRPr="009528E5">
        <w:rPr>
          <w:rFonts w:asciiTheme="majorBidi" w:eastAsia="Times New Roman" w:hAnsiTheme="majorBidi" w:cstheme="majorBidi"/>
          <w:noProof/>
          <w:sz w:val="20"/>
          <w:szCs w:val="20"/>
          <w:lang w:val="en-GB"/>
        </w:rPr>
        <w:t>Institute for Process and Particle Engineering, Graz University of Technology, Inffeldgasse13/3, 8010 Graz/Austria</w:t>
      </w:r>
      <w:r>
        <w:rPr>
          <w:rFonts w:asciiTheme="majorBidi" w:eastAsia="Times New Roman" w:hAnsiTheme="majorBidi" w:cstheme="majorBidi"/>
          <w:noProof/>
          <w:sz w:val="20"/>
          <w:szCs w:val="20"/>
          <w:lang w:val="en-GB"/>
        </w:rPr>
        <w:t>.</w:t>
      </w:r>
    </w:p>
    <w:p w:rsidR="009528E5" w:rsidRDefault="009528E5" w:rsidP="00FF679E">
      <w:pPr>
        <w:autoSpaceDE w:val="0"/>
        <w:autoSpaceDN w:val="0"/>
        <w:adjustRightInd w:val="0"/>
        <w:spacing w:after="0" w:line="240" w:lineRule="auto"/>
        <w:rPr>
          <w:rFonts w:ascii="AdvOT863180fb" w:hAnsi="AdvOT863180fb" w:cs="AdvOT863180fb"/>
          <w:sz w:val="27"/>
          <w:szCs w:val="27"/>
        </w:rPr>
      </w:pPr>
    </w:p>
    <w:p w:rsidR="009528E5" w:rsidRDefault="009528E5" w:rsidP="00FF679E">
      <w:pPr>
        <w:autoSpaceDE w:val="0"/>
        <w:autoSpaceDN w:val="0"/>
        <w:adjustRightInd w:val="0"/>
        <w:spacing w:after="0" w:line="240" w:lineRule="auto"/>
        <w:rPr>
          <w:rFonts w:ascii="AdvOT863180fb" w:hAnsi="AdvOT863180fb" w:cs="AdvOT863180fb"/>
          <w:sz w:val="27"/>
          <w:szCs w:val="27"/>
        </w:rPr>
      </w:pPr>
      <w:r>
        <w:rPr>
          <w:rFonts w:ascii="AdvOT863180fb" w:hAnsi="AdvOT863180fb" w:cs="AdvOT863180fb"/>
          <w:sz w:val="27"/>
          <w:szCs w:val="27"/>
        </w:rPr>
        <w:t>*shahzadkhu@gmail.com</w:t>
      </w:r>
    </w:p>
    <w:p w:rsidR="009528E5" w:rsidRDefault="009528E5" w:rsidP="00FF679E">
      <w:pPr>
        <w:autoSpaceDE w:val="0"/>
        <w:autoSpaceDN w:val="0"/>
        <w:adjustRightInd w:val="0"/>
        <w:spacing w:after="0" w:line="240" w:lineRule="auto"/>
        <w:rPr>
          <w:rFonts w:asciiTheme="majorBidi" w:hAnsiTheme="majorBidi" w:cstheme="majorBidi"/>
          <w:b/>
          <w:bCs/>
          <w:sz w:val="28"/>
          <w:szCs w:val="28"/>
        </w:rPr>
      </w:pPr>
    </w:p>
    <w:p w:rsidR="00FF679E" w:rsidRPr="00FF679E" w:rsidRDefault="00FF679E" w:rsidP="00FF679E">
      <w:pPr>
        <w:autoSpaceDE w:val="0"/>
        <w:autoSpaceDN w:val="0"/>
        <w:adjustRightInd w:val="0"/>
        <w:spacing w:after="0" w:line="240" w:lineRule="auto"/>
        <w:rPr>
          <w:rFonts w:asciiTheme="majorBidi" w:hAnsiTheme="majorBidi" w:cstheme="majorBidi"/>
          <w:b/>
          <w:bCs/>
          <w:sz w:val="28"/>
          <w:szCs w:val="28"/>
        </w:rPr>
      </w:pPr>
      <w:r w:rsidRPr="00FF679E">
        <w:rPr>
          <w:rFonts w:asciiTheme="majorBidi" w:hAnsiTheme="majorBidi" w:cstheme="majorBidi"/>
          <w:b/>
          <w:bCs/>
          <w:sz w:val="28"/>
          <w:szCs w:val="28"/>
        </w:rPr>
        <w:t xml:space="preserve">Abstract </w:t>
      </w:r>
    </w:p>
    <w:p w:rsidR="00FF679E" w:rsidRPr="00FF679E" w:rsidRDefault="00FF679E" w:rsidP="00FF679E">
      <w:pPr>
        <w:autoSpaceDE w:val="0"/>
        <w:autoSpaceDN w:val="0"/>
        <w:adjustRightInd w:val="0"/>
        <w:spacing w:after="0" w:line="240" w:lineRule="auto"/>
        <w:rPr>
          <w:rFonts w:asciiTheme="majorBidi" w:hAnsiTheme="majorBidi" w:cstheme="majorBidi"/>
          <w:sz w:val="24"/>
          <w:szCs w:val="24"/>
        </w:rPr>
      </w:pPr>
    </w:p>
    <w:p w:rsidR="0080614B" w:rsidRPr="00675B4F" w:rsidRDefault="0080614B" w:rsidP="00675B4F">
      <w:pPr>
        <w:pStyle w:val="CETBodytext"/>
        <w:spacing w:line="276" w:lineRule="auto"/>
        <w:rPr>
          <w:rFonts w:asciiTheme="majorBidi" w:hAnsiTheme="majorBidi" w:cstheme="majorBidi"/>
          <w:sz w:val="24"/>
          <w:szCs w:val="24"/>
          <w:lang w:val="en-GB"/>
        </w:rPr>
      </w:pPr>
      <w:r w:rsidRPr="00675B4F">
        <w:rPr>
          <w:rFonts w:asciiTheme="majorBidi" w:hAnsiTheme="majorBidi" w:cstheme="majorBidi"/>
          <w:sz w:val="24"/>
          <w:szCs w:val="24"/>
          <w:lang w:val="en-GB"/>
        </w:rPr>
        <w:t xml:space="preserve">The cultivation of </w:t>
      </w:r>
      <w:r w:rsidR="00A7331E" w:rsidRPr="00675B4F">
        <w:rPr>
          <w:rFonts w:asciiTheme="majorBidi" w:hAnsiTheme="majorBidi" w:cstheme="majorBidi"/>
          <w:sz w:val="24"/>
          <w:szCs w:val="24"/>
          <w:lang w:val="en-GB"/>
        </w:rPr>
        <w:t xml:space="preserve">energy crops to fulfil clean energy demand has resulted in </w:t>
      </w:r>
      <w:r w:rsidR="00B90889">
        <w:rPr>
          <w:rFonts w:asciiTheme="majorBidi" w:hAnsiTheme="majorBidi" w:cstheme="majorBidi"/>
          <w:sz w:val="24"/>
          <w:szCs w:val="24"/>
          <w:lang w:val="en-GB"/>
        </w:rPr>
        <w:t>land use competition between food</w:t>
      </w:r>
      <w:r w:rsidR="00A7331E" w:rsidRPr="00675B4F">
        <w:rPr>
          <w:rFonts w:asciiTheme="majorBidi" w:hAnsiTheme="majorBidi" w:cstheme="majorBidi"/>
          <w:sz w:val="24"/>
          <w:szCs w:val="24"/>
          <w:lang w:val="en-GB"/>
        </w:rPr>
        <w:t xml:space="preserve"> and energy. Similarly, continuous monoculture cropping system results in extra pressure on soil and surrounding environment. The cropping potential of arable land can be increased by applying alterna</w:t>
      </w:r>
      <w:r w:rsidR="00094BC4" w:rsidRPr="00675B4F">
        <w:rPr>
          <w:rFonts w:asciiTheme="majorBidi" w:hAnsiTheme="majorBidi" w:cstheme="majorBidi"/>
          <w:sz w:val="24"/>
          <w:szCs w:val="24"/>
          <w:lang w:val="en-GB"/>
        </w:rPr>
        <w:t xml:space="preserve">te cropping practices. One of the main challenges in </w:t>
      </w:r>
      <w:r w:rsidR="00675B4F" w:rsidRPr="00675B4F">
        <w:rPr>
          <w:rFonts w:asciiTheme="majorBidi" w:hAnsiTheme="majorBidi" w:cstheme="majorBidi"/>
          <w:sz w:val="24"/>
          <w:szCs w:val="24"/>
          <w:lang w:val="en-GB"/>
        </w:rPr>
        <w:t xml:space="preserve">current </w:t>
      </w:r>
      <w:r w:rsidR="00B90889">
        <w:rPr>
          <w:rFonts w:asciiTheme="majorBidi" w:hAnsiTheme="majorBidi" w:cstheme="majorBidi"/>
          <w:sz w:val="24"/>
          <w:szCs w:val="24"/>
          <w:lang w:val="en-GB"/>
        </w:rPr>
        <w:t xml:space="preserve">bio resource management is </w:t>
      </w:r>
      <w:r w:rsidR="00C14EC3" w:rsidRPr="00675B4F">
        <w:rPr>
          <w:rFonts w:asciiTheme="majorBidi" w:hAnsiTheme="majorBidi" w:cstheme="majorBidi"/>
          <w:sz w:val="24"/>
          <w:szCs w:val="24"/>
          <w:lang w:val="en-GB"/>
        </w:rPr>
        <w:t xml:space="preserve">economically feasible food production while sustaining intact arable land. </w:t>
      </w:r>
      <w:r w:rsidR="00094BC4" w:rsidRPr="00675B4F">
        <w:rPr>
          <w:rFonts w:asciiTheme="majorBidi" w:hAnsiTheme="majorBidi" w:cstheme="majorBidi"/>
          <w:sz w:val="24"/>
          <w:szCs w:val="24"/>
          <w:lang w:val="en-GB"/>
        </w:rPr>
        <w:t>The improvement of conventional farming practices can help to attain eco-economic</w:t>
      </w:r>
      <w:r w:rsidR="00C14EC3" w:rsidRPr="00675B4F">
        <w:rPr>
          <w:rFonts w:asciiTheme="majorBidi" w:hAnsiTheme="majorBidi" w:cstheme="majorBidi"/>
          <w:sz w:val="24"/>
          <w:szCs w:val="24"/>
          <w:lang w:val="en-GB"/>
        </w:rPr>
        <w:t xml:space="preserve"> benefits </w:t>
      </w:r>
      <w:r w:rsidR="00675B4F" w:rsidRPr="00675B4F">
        <w:rPr>
          <w:rFonts w:asciiTheme="majorBidi" w:hAnsiTheme="majorBidi" w:cstheme="majorBidi"/>
          <w:sz w:val="24"/>
          <w:szCs w:val="24"/>
          <w:lang w:val="en-GB"/>
        </w:rPr>
        <w:t xml:space="preserve">and overcome prevailing challenges. </w:t>
      </w:r>
    </w:p>
    <w:p w:rsidR="00B90889" w:rsidRDefault="00470E81" w:rsidP="009528E5">
      <w:pPr>
        <w:pStyle w:val="CETBodytext"/>
        <w:spacing w:line="276" w:lineRule="auto"/>
        <w:rPr>
          <w:rFonts w:asciiTheme="majorBidi" w:hAnsiTheme="majorBidi" w:cstheme="majorBidi"/>
          <w:sz w:val="24"/>
          <w:szCs w:val="24"/>
          <w:lang w:val="en-GB"/>
        </w:rPr>
      </w:pPr>
      <w:r>
        <w:rPr>
          <w:rFonts w:asciiTheme="majorBidi" w:hAnsiTheme="majorBidi" w:cstheme="majorBidi"/>
          <w:sz w:val="24"/>
          <w:szCs w:val="24"/>
          <w:lang w:val="en-GB"/>
        </w:rPr>
        <w:t xml:space="preserve">The ecological evaluation methodologies exhibits diverse levels of comprehensiveness based on normative behind their development to assess ecological impact of anthropogenic activities </w:t>
      </w:r>
      <w:r w:rsidR="00F4789E">
        <w:rPr>
          <w:rFonts w:asciiTheme="majorBidi" w:hAnsiTheme="majorBidi" w:cstheme="majorBidi"/>
          <w:sz w:val="24"/>
          <w:szCs w:val="24"/>
          <w:lang w:val="en-GB"/>
        </w:rPr>
        <w:t xml:space="preserve">on natural resources as well as biogeochemical cycles. This study deals with </w:t>
      </w:r>
      <w:r w:rsidR="00C40834">
        <w:rPr>
          <w:rFonts w:asciiTheme="majorBidi" w:hAnsiTheme="majorBidi" w:cstheme="majorBidi"/>
          <w:sz w:val="24"/>
          <w:szCs w:val="24"/>
          <w:lang w:val="en-GB"/>
        </w:rPr>
        <w:t xml:space="preserve">design and development of eco-efficient </w:t>
      </w:r>
      <w:r w:rsidR="00F4789E">
        <w:rPr>
          <w:rFonts w:asciiTheme="majorBidi" w:hAnsiTheme="majorBidi" w:cstheme="majorBidi"/>
          <w:sz w:val="24"/>
          <w:szCs w:val="24"/>
          <w:lang w:val="en-GB"/>
        </w:rPr>
        <w:t>integr</w:t>
      </w:r>
      <w:r w:rsidR="00C40834">
        <w:rPr>
          <w:rFonts w:asciiTheme="majorBidi" w:hAnsiTheme="majorBidi" w:cstheme="majorBidi"/>
          <w:sz w:val="24"/>
          <w:szCs w:val="24"/>
          <w:lang w:val="en-GB"/>
        </w:rPr>
        <w:t>ated biomass production syst</w:t>
      </w:r>
      <w:r w:rsidR="00DE59EB">
        <w:rPr>
          <w:rFonts w:asciiTheme="majorBidi" w:hAnsiTheme="majorBidi" w:cstheme="majorBidi"/>
          <w:sz w:val="24"/>
          <w:szCs w:val="24"/>
          <w:lang w:val="en-GB"/>
        </w:rPr>
        <w:t xml:space="preserve">em. The ecological evaluation is carried out using life cycle assessment based methodology known as Sustainable Process Index (SPI). </w:t>
      </w:r>
      <w:r w:rsidR="00045340">
        <w:rPr>
          <w:rFonts w:asciiTheme="majorBidi" w:hAnsiTheme="majorBidi" w:cstheme="majorBidi"/>
          <w:sz w:val="24"/>
          <w:szCs w:val="24"/>
          <w:lang w:val="en-GB"/>
        </w:rPr>
        <w:t>This methodology considers resources availability from natural income, their life cycle chains and emissions to their relevant compartments (air, soil, water) on the earth sphere. Overall footprint of a process, product or service unit is given as single number in m</w:t>
      </w:r>
      <w:r w:rsidR="00045340" w:rsidRPr="00045340">
        <w:rPr>
          <w:rFonts w:asciiTheme="majorBidi" w:hAnsiTheme="majorBidi" w:cstheme="majorBidi"/>
          <w:sz w:val="24"/>
          <w:szCs w:val="24"/>
          <w:vertAlign w:val="superscript"/>
          <w:lang w:val="en-GB"/>
        </w:rPr>
        <w:t>2</w:t>
      </w:r>
      <w:r w:rsidR="00B64348">
        <w:rPr>
          <w:rFonts w:asciiTheme="majorBidi" w:hAnsiTheme="majorBidi" w:cstheme="majorBidi"/>
          <w:sz w:val="24"/>
          <w:szCs w:val="24"/>
          <w:lang w:val="en-GB"/>
        </w:rPr>
        <w:t xml:space="preserve"> area. This value is the sum of ecological pressure exerted by resource and energy consumption as well as emissions during the life cycle of a process chain. </w:t>
      </w:r>
    </w:p>
    <w:p w:rsidR="00311665" w:rsidRDefault="00B64348" w:rsidP="00B90889">
      <w:pPr>
        <w:pStyle w:val="CETBodytext"/>
        <w:spacing w:line="276" w:lineRule="auto"/>
        <w:rPr>
          <w:rFonts w:asciiTheme="majorBidi" w:hAnsiTheme="majorBidi" w:cstheme="majorBidi"/>
          <w:sz w:val="24"/>
          <w:szCs w:val="24"/>
        </w:rPr>
      </w:pPr>
      <w:r>
        <w:rPr>
          <w:rFonts w:asciiTheme="majorBidi" w:hAnsiTheme="majorBidi" w:cstheme="majorBidi"/>
          <w:sz w:val="24"/>
          <w:szCs w:val="24"/>
          <w:lang w:val="en-GB"/>
        </w:rPr>
        <w:t>The analysis highlights the ecological ho</w:t>
      </w:r>
      <w:r w:rsidR="00311665">
        <w:rPr>
          <w:rFonts w:asciiTheme="majorBidi" w:hAnsiTheme="majorBidi" w:cstheme="majorBidi"/>
          <w:sz w:val="24"/>
          <w:szCs w:val="24"/>
          <w:lang w:val="en-GB"/>
        </w:rPr>
        <w:t xml:space="preserve">tspots in the process chain. These ecological hotspots in the conventional farming practices includes monoculture cropping system, use of mineral fertilizers, pesticides, herbicides and consumption of fossil fuel to fulfil energy demand. The shift from business as usual farming practice to organic farming practise using manure as fertilizer while biogas as renewable fuel instead of fossil fuel </w:t>
      </w:r>
      <w:r w:rsidR="00311665" w:rsidRPr="00FF679E">
        <w:rPr>
          <w:rFonts w:asciiTheme="majorBidi" w:hAnsiTheme="majorBidi" w:cstheme="majorBidi"/>
          <w:sz w:val="24"/>
          <w:szCs w:val="24"/>
        </w:rPr>
        <w:t>showed an ecological footprint reduction potential ranging from 22% to 57%</w:t>
      </w:r>
      <w:r w:rsidR="00311665">
        <w:rPr>
          <w:rFonts w:asciiTheme="majorBidi" w:hAnsiTheme="majorBidi" w:cstheme="majorBidi"/>
          <w:sz w:val="24"/>
          <w:szCs w:val="24"/>
        </w:rPr>
        <w:t xml:space="preserve">. </w:t>
      </w:r>
      <w:r w:rsidR="00FF679E" w:rsidRPr="00FF679E">
        <w:rPr>
          <w:rFonts w:asciiTheme="majorBidi" w:hAnsiTheme="majorBidi" w:cstheme="majorBidi"/>
          <w:sz w:val="24"/>
          <w:szCs w:val="24"/>
        </w:rPr>
        <w:t xml:space="preserve">The </w:t>
      </w:r>
      <w:r w:rsidR="00311665">
        <w:rPr>
          <w:rFonts w:asciiTheme="majorBidi" w:hAnsiTheme="majorBidi" w:cstheme="majorBidi"/>
          <w:sz w:val="24"/>
          <w:szCs w:val="24"/>
        </w:rPr>
        <w:t xml:space="preserve">evaluation outcomes are very promising and depicts that </w:t>
      </w:r>
      <w:r w:rsidR="009528E5">
        <w:rPr>
          <w:rFonts w:asciiTheme="majorBidi" w:hAnsiTheme="majorBidi" w:cstheme="majorBidi"/>
          <w:sz w:val="24"/>
          <w:szCs w:val="24"/>
        </w:rPr>
        <w:t>shift to</w:t>
      </w:r>
      <w:r w:rsidR="00311665">
        <w:rPr>
          <w:rFonts w:asciiTheme="majorBidi" w:hAnsiTheme="majorBidi" w:cstheme="majorBidi"/>
          <w:sz w:val="24"/>
          <w:szCs w:val="24"/>
        </w:rPr>
        <w:t xml:space="preserve"> modern farming </w:t>
      </w:r>
      <w:r w:rsidR="009528E5">
        <w:rPr>
          <w:rFonts w:asciiTheme="majorBidi" w:hAnsiTheme="majorBidi" w:cstheme="majorBidi"/>
          <w:sz w:val="24"/>
          <w:szCs w:val="24"/>
        </w:rPr>
        <w:t xml:space="preserve">practices equipped with alternate renewable energy </w:t>
      </w:r>
      <w:r w:rsidR="00B90889">
        <w:rPr>
          <w:rFonts w:asciiTheme="majorBidi" w:hAnsiTheme="majorBidi" w:cstheme="majorBidi"/>
          <w:sz w:val="24"/>
          <w:szCs w:val="24"/>
        </w:rPr>
        <w:t xml:space="preserve">provision systems </w:t>
      </w:r>
      <w:bookmarkStart w:id="0" w:name="_GoBack"/>
      <w:bookmarkEnd w:id="0"/>
      <w:r w:rsidR="009528E5">
        <w:rPr>
          <w:rFonts w:asciiTheme="majorBidi" w:hAnsiTheme="majorBidi" w:cstheme="majorBidi"/>
          <w:sz w:val="24"/>
          <w:szCs w:val="24"/>
        </w:rPr>
        <w:t xml:space="preserve">have huge potential to attain sustainability in agriculture sector. </w:t>
      </w:r>
    </w:p>
    <w:p w:rsidR="009A56E3" w:rsidRPr="00311665" w:rsidRDefault="00FF679E" w:rsidP="009528E5">
      <w:pPr>
        <w:pStyle w:val="CETBodytext"/>
        <w:spacing w:line="276" w:lineRule="auto"/>
        <w:rPr>
          <w:rFonts w:asciiTheme="majorBidi" w:hAnsiTheme="majorBidi" w:cstheme="majorBidi"/>
          <w:sz w:val="24"/>
          <w:szCs w:val="24"/>
          <w:lang w:val="en-GB"/>
        </w:rPr>
      </w:pPr>
      <w:r w:rsidRPr="00FF679E">
        <w:rPr>
          <w:rFonts w:asciiTheme="majorBidi" w:hAnsiTheme="majorBidi" w:cstheme="majorBidi"/>
          <w:sz w:val="24"/>
          <w:szCs w:val="24"/>
        </w:rPr>
        <w:t xml:space="preserve"> </w:t>
      </w:r>
    </w:p>
    <w:sectPr w:rsidR="009A56E3" w:rsidRPr="003116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OT863180fb">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79E"/>
    <w:rsid w:val="00045340"/>
    <w:rsid w:val="00094BC4"/>
    <w:rsid w:val="000B7CFA"/>
    <w:rsid w:val="00100DDE"/>
    <w:rsid w:val="00311665"/>
    <w:rsid w:val="00470E81"/>
    <w:rsid w:val="004A3639"/>
    <w:rsid w:val="004D2B76"/>
    <w:rsid w:val="00595F12"/>
    <w:rsid w:val="00675B4F"/>
    <w:rsid w:val="0080614B"/>
    <w:rsid w:val="009528E5"/>
    <w:rsid w:val="00A7331E"/>
    <w:rsid w:val="00B64348"/>
    <w:rsid w:val="00B90889"/>
    <w:rsid w:val="00C14EC3"/>
    <w:rsid w:val="00C40834"/>
    <w:rsid w:val="00DE59EB"/>
    <w:rsid w:val="00F4789E"/>
    <w:rsid w:val="00FF67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050C4B-4C74-4FA9-80D0-9A71E20FE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Bodytext">
    <w:name w:val="CET Body text"/>
    <w:link w:val="CETBodytextCarattere"/>
    <w:rsid w:val="004A3639"/>
    <w:pPr>
      <w:tabs>
        <w:tab w:val="right" w:pos="7100"/>
      </w:tabs>
      <w:spacing w:after="0" w:line="264" w:lineRule="auto"/>
      <w:jc w:val="both"/>
    </w:pPr>
    <w:rPr>
      <w:rFonts w:ascii="Arial" w:eastAsia="Times New Roman" w:hAnsi="Arial" w:cs="Times New Roman"/>
      <w:sz w:val="18"/>
      <w:szCs w:val="20"/>
    </w:rPr>
  </w:style>
  <w:style w:type="character" w:customStyle="1" w:styleId="CETBodytextCarattere">
    <w:name w:val="CET Body text Carattere"/>
    <w:link w:val="CETBodytext"/>
    <w:rsid w:val="004A3639"/>
    <w:rPr>
      <w:rFonts w:ascii="Arial" w:eastAsia="Times New Roman" w:hAnsi="Arial"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ﺧرم ﺷﻬزاد ﻣﺣﻣد رﻣﺿﺎن</dc:creator>
  <cp:keywords/>
  <dc:description/>
  <cp:lastModifiedBy>ﺧرم ﺷﻬزاد ﻣﺣﻣد رﻣﺿﺎن</cp:lastModifiedBy>
  <cp:revision>5</cp:revision>
  <dcterms:created xsi:type="dcterms:W3CDTF">2018-02-06T06:52:00Z</dcterms:created>
  <dcterms:modified xsi:type="dcterms:W3CDTF">2018-02-06T13:50:00Z</dcterms:modified>
</cp:coreProperties>
</file>